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spacing w:line="360" w:lineRule="auto"/>
        <w:ind w:left="0" w:leftChars="0" w:firstLine="0" w:firstLineChars="0"/>
        <w:rPr>
          <w:rFonts w:hint="eastAsia" w:ascii="宋体" w:hAnsi="宋体" w:cs="宋体"/>
          <w:b/>
          <w:sz w:val="28"/>
        </w:rPr>
      </w:pPr>
    </w:p>
    <w:p>
      <w:pPr>
        <w:pStyle w:val="16"/>
        <w:spacing w:line="360" w:lineRule="auto"/>
        <w:ind w:left="0" w:leftChars="0" w:firstLine="0" w:firstLineChars="0"/>
        <w:rPr>
          <w:rFonts w:hint="eastAsia" w:ascii="宋体" w:hAnsi="宋体" w:cs="宋体"/>
          <w:b/>
          <w:sz w:val="28"/>
        </w:rPr>
      </w:pPr>
    </w:p>
    <w:p>
      <w:pPr>
        <w:pStyle w:val="16"/>
        <w:spacing w:line="360" w:lineRule="auto"/>
        <w:ind w:left="0" w:leftChars="0" w:firstLine="0" w:firstLineChars="0"/>
        <w:rPr>
          <w:rFonts w:hint="eastAsia" w:ascii="宋体" w:hAnsi="宋体" w:cs="宋体"/>
          <w:b/>
          <w:sz w:val="28"/>
        </w:rPr>
      </w:pPr>
    </w:p>
    <w:p>
      <w:pPr>
        <w:pStyle w:val="16"/>
        <w:spacing w:line="360" w:lineRule="auto"/>
        <w:ind w:left="0" w:leftChars="0" w:firstLine="0" w:firstLineChars="0"/>
        <w:rPr>
          <w:rFonts w:hint="eastAsia" w:ascii="宋体" w:hAnsi="宋体" w:cs="宋体"/>
          <w:b/>
          <w:sz w:val="28"/>
        </w:rPr>
      </w:pPr>
    </w:p>
    <w:p>
      <w:pPr>
        <w:tabs>
          <w:tab w:val="center" w:pos="4156"/>
          <w:tab w:val="left" w:pos="6405"/>
        </w:tabs>
        <w:adjustRightInd w:val="0"/>
        <w:snapToGrid w:val="0"/>
        <w:spacing w:line="360" w:lineRule="auto"/>
        <w:jc w:val="center"/>
        <w:rPr>
          <w:rFonts w:hint="eastAsia" w:ascii="宋体" w:hAnsi="宋体" w:cs="宋体"/>
          <w:sz w:val="72"/>
        </w:rPr>
      </w:pPr>
      <w:r>
        <w:rPr>
          <w:rFonts w:hint="eastAsia" w:ascii="宋体" w:hAnsi="宋体" w:cs="宋体"/>
          <w:sz w:val="72"/>
        </w:rPr>
        <w:t>招标文件</w:t>
      </w:r>
    </w:p>
    <w:p>
      <w:pPr>
        <w:pStyle w:val="16"/>
        <w:spacing w:line="360" w:lineRule="auto"/>
        <w:ind w:left="0" w:leftChars="0" w:firstLine="0" w:firstLineChars="0"/>
        <w:rPr>
          <w:rFonts w:hint="eastAsia" w:ascii="宋体" w:hAnsi="宋体" w:cs="宋体"/>
          <w:b/>
          <w:sz w:val="28"/>
        </w:rPr>
      </w:pPr>
    </w:p>
    <w:p>
      <w:pPr>
        <w:pStyle w:val="16"/>
        <w:spacing w:line="360" w:lineRule="auto"/>
        <w:ind w:left="0" w:leftChars="0" w:firstLine="0" w:firstLineChars="0"/>
        <w:rPr>
          <w:rFonts w:hint="eastAsia" w:ascii="宋体" w:hAnsi="宋体" w:cs="宋体"/>
          <w:b/>
          <w:sz w:val="28"/>
        </w:rPr>
      </w:pPr>
    </w:p>
    <w:p>
      <w:pPr>
        <w:pStyle w:val="16"/>
        <w:spacing w:line="360" w:lineRule="auto"/>
        <w:ind w:left="0" w:leftChars="0" w:firstLine="0" w:firstLineChars="0"/>
        <w:rPr>
          <w:rFonts w:hint="eastAsia" w:ascii="宋体" w:hAnsi="宋体" w:cs="宋体"/>
          <w:b/>
          <w:sz w:val="32"/>
          <w:szCs w:val="18"/>
        </w:rPr>
      </w:pPr>
    </w:p>
    <w:p>
      <w:pPr>
        <w:pStyle w:val="16"/>
        <w:spacing w:line="360" w:lineRule="auto"/>
        <w:ind w:left="0" w:leftChars="0" w:firstLine="883" w:firstLineChars="314"/>
        <w:rPr>
          <w:rFonts w:hint="eastAsia" w:ascii="仿宋" w:hAnsi="仿宋" w:eastAsia="仿宋" w:cs="仿宋"/>
          <w:b w:val="0"/>
          <w:color w:val="000000" w:themeColor="text1"/>
          <w:sz w:val="28"/>
          <w:szCs w:val="28"/>
          <w:lang w:val="en-US" w:eastAsia="zh-CN" w:bidi="ar"/>
          <w14:textFill>
            <w14:solidFill>
              <w14:schemeClr w14:val="tx1"/>
            </w14:solidFill>
          </w14:textFill>
        </w:rPr>
      </w:pPr>
      <w:r>
        <w:rPr>
          <w:rFonts w:hint="eastAsia" w:ascii="宋体" w:hAnsi="宋体" w:cs="宋体"/>
          <w:b/>
          <w:sz w:val="28"/>
          <w:szCs w:val="28"/>
        </w:rPr>
        <w:t>项目名称：</w:t>
      </w:r>
      <w:r>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t>珠海市香洲区第二人民医院直饮水机租赁服务采购项目</w:t>
      </w:r>
    </w:p>
    <w:p>
      <w:pPr>
        <w:pStyle w:val="16"/>
        <w:spacing w:line="360" w:lineRule="auto"/>
        <w:ind w:left="0" w:leftChars="0" w:firstLine="883" w:firstLineChars="314"/>
        <w:rPr>
          <w:rFonts w:hint="default" w:ascii="宋体" w:hAnsi="宋体" w:eastAsia="宋体" w:cs="宋体"/>
          <w:b/>
          <w:sz w:val="24"/>
          <w:szCs w:val="24"/>
          <w:lang w:val="en-US" w:eastAsia="zh-CN"/>
        </w:rPr>
      </w:pPr>
      <w:r>
        <w:rPr>
          <w:rFonts w:hint="eastAsia" w:ascii="宋体" w:hAnsi="宋体" w:cs="宋体"/>
          <w:b/>
          <w:sz w:val="28"/>
          <w:szCs w:val="28"/>
        </w:rPr>
        <w:t>项目编号：</w:t>
      </w:r>
      <w:r>
        <w:rPr>
          <w:rFonts w:hint="eastAsia" w:ascii="仿宋" w:hAnsi="仿宋" w:eastAsia="仿宋" w:cs="仿宋"/>
          <w:b w:val="0"/>
          <w:color w:val="000000" w:themeColor="text1"/>
          <w:sz w:val="28"/>
          <w:szCs w:val="28"/>
          <w:lang w:val="en-US" w:bidi="ar"/>
          <w14:textFill>
            <w14:solidFill>
              <w14:schemeClr w14:val="tx1"/>
            </w14:solidFill>
          </w14:textFill>
        </w:rPr>
        <w:t>HQCG202</w:t>
      </w:r>
      <w:r>
        <w:rPr>
          <w:rFonts w:hint="eastAsia" w:ascii="仿宋" w:hAnsi="仿宋" w:eastAsia="仿宋" w:cs="仿宋"/>
          <w:b w:val="0"/>
          <w:color w:val="000000" w:themeColor="text1"/>
          <w:sz w:val="28"/>
          <w:szCs w:val="28"/>
          <w:lang w:val="en-US" w:eastAsia="zh-CN" w:bidi="ar"/>
          <w14:textFill>
            <w14:solidFill>
              <w14:schemeClr w14:val="tx1"/>
            </w14:solidFill>
          </w14:textFill>
        </w:rPr>
        <w:t>6004</w:t>
      </w:r>
    </w:p>
    <w:p>
      <w:pPr>
        <w:pStyle w:val="16"/>
        <w:ind w:left="0" w:leftChars="0" w:firstLine="0" w:firstLineChars="0"/>
        <w:rPr>
          <w:rFonts w:hint="eastAsia" w:ascii="宋体" w:hAnsi="宋体" w:cs="宋体"/>
          <w:b/>
          <w:sz w:val="28"/>
        </w:rPr>
      </w:pPr>
    </w:p>
    <w:p>
      <w:pPr>
        <w:pStyle w:val="16"/>
        <w:ind w:left="0" w:leftChars="0" w:firstLine="0" w:firstLineChars="0"/>
        <w:rPr>
          <w:rFonts w:hint="eastAsia" w:ascii="宋体" w:hAnsi="宋体" w:cs="宋体"/>
          <w:b/>
          <w:sz w:val="28"/>
        </w:rPr>
      </w:pPr>
    </w:p>
    <w:p>
      <w:pPr>
        <w:pStyle w:val="16"/>
        <w:ind w:left="0" w:leftChars="0" w:firstLine="0" w:firstLineChars="0"/>
        <w:rPr>
          <w:rFonts w:hint="eastAsia" w:ascii="宋体" w:hAnsi="宋体" w:cs="宋体"/>
          <w:b/>
          <w:sz w:val="28"/>
        </w:rPr>
      </w:pPr>
    </w:p>
    <w:p>
      <w:pPr>
        <w:pStyle w:val="16"/>
        <w:ind w:left="0" w:leftChars="0" w:firstLine="0" w:firstLineChars="0"/>
        <w:rPr>
          <w:rFonts w:hint="eastAsia" w:ascii="宋体" w:hAnsi="宋体" w:cs="宋体"/>
          <w:b/>
          <w:sz w:val="28"/>
          <w:highlight w:val="none"/>
        </w:rPr>
      </w:pPr>
    </w:p>
    <w:p>
      <w:pPr>
        <w:tabs>
          <w:tab w:val="center" w:pos="4156"/>
          <w:tab w:val="left" w:pos="6405"/>
        </w:tabs>
        <w:adjustRightInd w:val="0"/>
        <w:snapToGrid w:val="0"/>
        <w:spacing w:line="360" w:lineRule="auto"/>
        <w:jc w:val="center"/>
        <w:rPr>
          <w:rFonts w:hint="eastAsia" w:ascii="黑体" w:hAnsi="黑体" w:eastAsia="黑体" w:cs="黑体"/>
          <w:sz w:val="28"/>
          <w:szCs w:val="10"/>
          <w:highlight w:val="none"/>
          <w:lang w:val="en-US" w:eastAsia="zh-CN"/>
        </w:rPr>
      </w:pPr>
      <w:r>
        <w:rPr>
          <w:rFonts w:hint="eastAsia" w:ascii="黑体" w:hAnsi="黑体" w:eastAsia="黑体" w:cs="黑体"/>
          <w:sz w:val="28"/>
          <w:szCs w:val="10"/>
          <w:highlight w:val="none"/>
          <w:lang w:val="en-US" w:eastAsia="zh-CN"/>
        </w:rPr>
        <w:t>采购人：珠海市香洲区第二人民医院</w:t>
      </w:r>
    </w:p>
    <w:p>
      <w:pPr>
        <w:tabs>
          <w:tab w:val="center" w:pos="4156"/>
          <w:tab w:val="left" w:pos="6405"/>
        </w:tabs>
        <w:adjustRightInd w:val="0"/>
        <w:snapToGrid w:val="0"/>
        <w:spacing w:line="360" w:lineRule="auto"/>
        <w:jc w:val="center"/>
        <w:rPr>
          <w:rFonts w:hint="eastAsia" w:ascii="黑体" w:hAnsi="黑体" w:eastAsia="黑体" w:cs="黑体"/>
          <w:sz w:val="28"/>
          <w:szCs w:val="10"/>
          <w:highlight w:val="none"/>
          <w:lang w:val="en-US" w:eastAsia="zh-CN"/>
        </w:rPr>
      </w:pPr>
      <w:r>
        <w:rPr>
          <w:rFonts w:hint="eastAsia" w:ascii="黑体" w:hAnsi="黑体" w:eastAsia="黑体" w:cs="黑体"/>
          <w:sz w:val="28"/>
          <w:szCs w:val="10"/>
          <w:highlight w:val="none"/>
          <w:lang w:val="en-US" w:eastAsia="zh-CN"/>
        </w:rPr>
        <w:t>2026年8月</w:t>
      </w:r>
    </w:p>
    <w:p>
      <w:pPr>
        <w:spacing w:line="360" w:lineRule="auto"/>
        <w:jc w:val="center"/>
        <w:rPr>
          <w:rFonts w:hint="eastAsia" w:ascii="宋体" w:hAnsi="宋体" w:cs="宋体"/>
          <w:b/>
          <w:sz w:val="28"/>
          <w:szCs w:val="28"/>
        </w:rPr>
      </w:pPr>
    </w:p>
    <w:p>
      <w:pPr>
        <w:pStyle w:val="9"/>
        <w:rPr>
          <w:rFonts w:hint="eastAsia"/>
        </w:rPr>
        <w:sectPr>
          <w:footerReference r:id="rId5" w:type="default"/>
          <w:pgSz w:w="11906" w:h="16838"/>
          <w:pgMar w:top="1434" w:right="1474" w:bottom="1434" w:left="1474" w:header="851" w:footer="992" w:gutter="0"/>
          <w:pgNumType w:fmt="decimal"/>
          <w:cols w:space="425" w:num="1"/>
          <w:docGrid w:type="lines" w:linePitch="312" w:charSpace="0"/>
        </w:sectPr>
      </w:pPr>
    </w:p>
    <w:p>
      <w:pPr>
        <w:tabs>
          <w:tab w:val="center" w:pos="4156"/>
          <w:tab w:val="left" w:pos="6405"/>
        </w:tabs>
        <w:adjustRightInd w:val="0"/>
        <w:snapToGrid w:val="0"/>
        <w:spacing w:line="480" w:lineRule="auto"/>
        <w:jc w:val="center"/>
        <w:rPr>
          <w:rFonts w:hint="eastAsia" w:ascii="宋体" w:hAnsi="宋体" w:cs="宋体"/>
          <w:sz w:val="52"/>
          <w:szCs w:val="20"/>
          <w:lang w:val="en-US" w:eastAsia="zh-CN"/>
        </w:rPr>
      </w:pPr>
    </w:p>
    <w:p>
      <w:pPr>
        <w:tabs>
          <w:tab w:val="center" w:pos="4156"/>
          <w:tab w:val="left" w:pos="6405"/>
        </w:tabs>
        <w:adjustRightInd w:val="0"/>
        <w:snapToGrid w:val="0"/>
        <w:spacing w:line="480" w:lineRule="auto"/>
        <w:jc w:val="center"/>
        <w:rPr>
          <w:rFonts w:hint="eastAsia" w:ascii="宋体" w:hAnsi="宋体" w:cs="宋体"/>
          <w:sz w:val="52"/>
          <w:szCs w:val="20"/>
          <w:lang w:val="en-US" w:eastAsia="zh-CN"/>
        </w:rPr>
      </w:pPr>
      <w:r>
        <w:rPr>
          <w:rFonts w:hint="eastAsia" w:ascii="宋体" w:hAnsi="宋体" w:cs="宋体"/>
          <w:sz w:val="52"/>
          <w:szCs w:val="20"/>
          <w:lang w:val="en-US" w:eastAsia="zh-CN"/>
        </w:rPr>
        <w:t>目   录</w:t>
      </w:r>
    </w:p>
    <w:p>
      <w:pPr>
        <w:tabs>
          <w:tab w:val="center" w:pos="4156"/>
          <w:tab w:val="left" w:pos="6405"/>
        </w:tabs>
        <w:adjustRightInd w:val="0"/>
        <w:snapToGrid w:val="0"/>
        <w:spacing w:line="480" w:lineRule="auto"/>
        <w:ind w:leftChars="400"/>
        <w:jc w:val="left"/>
        <w:rPr>
          <w:rFonts w:hint="eastAsia" w:ascii="宋体" w:hAnsi="宋体" w:cs="宋体"/>
          <w:sz w:val="32"/>
          <w:szCs w:val="32"/>
          <w:lang w:val="en-US" w:eastAsia="zh-CN"/>
        </w:rPr>
      </w:pPr>
      <w:r>
        <w:rPr>
          <w:rFonts w:hint="eastAsia" w:ascii="宋体" w:hAnsi="宋体" w:cs="宋体"/>
          <w:sz w:val="32"/>
          <w:szCs w:val="32"/>
          <w:lang w:val="en-US" w:eastAsia="zh-CN"/>
        </w:rPr>
        <w:t>第一部分  招标公告</w:t>
      </w:r>
    </w:p>
    <w:p>
      <w:pPr>
        <w:tabs>
          <w:tab w:val="center" w:pos="4156"/>
          <w:tab w:val="left" w:pos="6405"/>
        </w:tabs>
        <w:adjustRightInd w:val="0"/>
        <w:snapToGrid w:val="0"/>
        <w:spacing w:line="480" w:lineRule="auto"/>
        <w:ind w:leftChars="400"/>
        <w:jc w:val="left"/>
        <w:rPr>
          <w:rFonts w:hint="eastAsia" w:ascii="宋体" w:hAnsi="宋体" w:cs="宋体"/>
          <w:sz w:val="32"/>
          <w:szCs w:val="32"/>
          <w:lang w:val="en-US" w:eastAsia="zh-CN"/>
        </w:rPr>
      </w:pPr>
      <w:r>
        <w:rPr>
          <w:rFonts w:hint="eastAsia" w:ascii="宋体" w:hAnsi="宋体" w:cs="宋体"/>
          <w:sz w:val="32"/>
          <w:szCs w:val="32"/>
          <w:lang w:val="en-US" w:eastAsia="zh-CN"/>
        </w:rPr>
        <w:t xml:space="preserve">第二部分  </w:t>
      </w:r>
      <w:r>
        <w:rPr>
          <w:rFonts w:hint="eastAsia" w:cs="宋体"/>
          <w:sz w:val="32"/>
          <w:szCs w:val="32"/>
          <w:lang w:val="en-US" w:eastAsia="zh-CN"/>
        </w:rPr>
        <w:t>用户</w:t>
      </w:r>
      <w:r>
        <w:rPr>
          <w:rFonts w:hint="eastAsia" w:ascii="宋体" w:hAnsi="宋体" w:cs="宋体"/>
          <w:sz w:val="32"/>
          <w:szCs w:val="32"/>
          <w:lang w:val="en-US" w:eastAsia="zh-CN"/>
        </w:rPr>
        <w:t>需求书</w:t>
      </w:r>
    </w:p>
    <w:p>
      <w:pPr>
        <w:tabs>
          <w:tab w:val="center" w:pos="4156"/>
          <w:tab w:val="left" w:pos="6405"/>
        </w:tabs>
        <w:adjustRightInd w:val="0"/>
        <w:snapToGrid w:val="0"/>
        <w:spacing w:line="480" w:lineRule="auto"/>
        <w:ind w:leftChars="400"/>
        <w:jc w:val="left"/>
        <w:rPr>
          <w:rFonts w:hint="eastAsia" w:ascii="宋体" w:hAnsi="宋体" w:cs="宋体"/>
          <w:sz w:val="32"/>
          <w:szCs w:val="32"/>
          <w:lang w:val="en-US" w:eastAsia="zh-CN"/>
        </w:rPr>
      </w:pPr>
      <w:r>
        <w:rPr>
          <w:rFonts w:hint="eastAsia" w:ascii="宋体" w:hAnsi="宋体" w:cs="宋体"/>
          <w:sz w:val="32"/>
          <w:szCs w:val="32"/>
          <w:lang w:val="en-US" w:eastAsia="zh-CN"/>
        </w:rPr>
        <w:t>第三部分  投标人须知前附表</w:t>
      </w:r>
    </w:p>
    <w:p>
      <w:pPr>
        <w:tabs>
          <w:tab w:val="center" w:pos="4156"/>
          <w:tab w:val="left" w:pos="6405"/>
        </w:tabs>
        <w:adjustRightInd w:val="0"/>
        <w:snapToGrid w:val="0"/>
        <w:spacing w:line="480" w:lineRule="auto"/>
        <w:ind w:leftChars="400"/>
        <w:jc w:val="left"/>
        <w:rPr>
          <w:rFonts w:hint="eastAsia" w:ascii="宋体" w:hAnsi="宋体" w:cs="宋体"/>
          <w:sz w:val="32"/>
          <w:szCs w:val="32"/>
          <w:lang w:val="en-US" w:eastAsia="zh-CN"/>
        </w:rPr>
      </w:pPr>
      <w:r>
        <w:rPr>
          <w:rFonts w:hint="eastAsia" w:ascii="宋体" w:hAnsi="宋体" w:cs="宋体"/>
          <w:sz w:val="32"/>
          <w:szCs w:val="32"/>
          <w:lang w:val="en-US" w:eastAsia="zh-CN"/>
        </w:rPr>
        <w:t>第</w:t>
      </w:r>
      <w:r>
        <w:rPr>
          <w:rFonts w:hint="eastAsia" w:cs="宋体"/>
          <w:sz w:val="32"/>
          <w:szCs w:val="32"/>
          <w:lang w:val="en-US" w:eastAsia="zh-CN"/>
        </w:rPr>
        <w:t>四</w:t>
      </w:r>
      <w:r>
        <w:rPr>
          <w:rFonts w:hint="eastAsia" w:ascii="宋体" w:hAnsi="宋体" w:cs="宋体"/>
          <w:sz w:val="32"/>
          <w:szCs w:val="32"/>
          <w:lang w:val="en-US" w:eastAsia="zh-CN"/>
        </w:rPr>
        <w:t xml:space="preserve">部分 </w:t>
      </w:r>
      <w:r>
        <w:rPr>
          <w:rFonts w:hint="eastAsia" w:cs="宋体"/>
          <w:sz w:val="32"/>
          <w:szCs w:val="32"/>
          <w:lang w:val="en-US" w:eastAsia="zh-CN"/>
        </w:rPr>
        <w:t xml:space="preserve"> </w:t>
      </w:r>
      <w:r>
        <w:rPr>
          <w:rFonts w:hint="eastAsia" w:ascii="宋体" w:hAnsi="宋体" w:cs="宋体"/>
          <w:sz w:val="32"/>
          <w:szCs w:val="32"/>
          <w:lang w:val="en-US" w:eastAsia="zh-CN"/>
        </w:rPr>
        <w:t>评标方法与标准</w:t>
      </w:r>
    </w:p>
    <w:p>
      <w:pPr>
        <w:tabs>
          <w:tab w:val="center" w:pos="4156"/>
          <w:tab w:val="left" w:pos="6405"/>
        </w:tabs>
        <w:adjustRightInd w:val="0"/>
        <w:snapToGrid w:val="0"/>
        <w:spacing w:line="480" w:lineRule="auto"/>
        <w:ind w:leftChars="400"/>
        <w:jc w:val="left"/>
        <w:rPr>
          <w:rFonts w:hint="eastAsia" w:cs="宋体"/>
          <w:sz w:val="32"/>
          <w:szCs w:val="32"/>
          <w:lang w:val="en-US" w:eastAsia="zh-CN"/>
        </w:rPr>
      </w:pPr>
      <w:r>
        <w:rPr>
          <w:rFonts w:hint="eastAsia" w:ascii="宋体" w:hAnsi="宋体" w:cs="宋体"/>
          <w:sz w:val="32"/>
          <w:szCs w:val="32"/>
          <w:lang w:val="en-US" w:eastAsia="zh-CN"/>
        </w:rPr>
        <w:t>第</w:t>
      </w:r>
      <w:r>
        <w:rPr>
          <w:rFonts w:hint="eastAsia" w:cs="宋体"/>
          <w:sz w:val="32"/>
          <w:szCs w:val="32"/>
          <w:lang w:val="en-US" w:eastAsia="zh-CN"/>
        </w:rPr>
        <w:t>五</w:t>
      </w:r>
      <w:r>
        <w:rPr>
          <w:rFonts w:hint="eastAsia" w:ascii="宋体" w:hAnsi="宋体" w:cs="宋体"/>
          <w:sz w:val="32"/>
          <w:szCs w:val="32"/>
          <w:lang w:val="en-US" w:eastAsia="zh-CN"/>
        </w:rPr>
        <w:t>部分  投标文件格式</w:t>
      </w:r>
      <w:r>
        <w:rPr>
          <w:rFonts w:hint="eastAsia" w:cs="宋体"/>
          <w:sz w:val="32"/>
          <w:szCs w:val="32"/>
          <w:lang w:val="en-US" w:eastAsia="zh-CN"/>
        </w:rPr>
        <w:t>（参考）</w:t>
      </w:r>
    </w:p>
    <w:p>
      <w:pPr>
        <w:tabs>
          <w:tab w:val="center" w:pos="4156"/>
          <w:tab w:val="left" w:pos="6405"/>
        </w:tabs>
        <w:adjustRightInd w:val="0"/>
        <w:snapToGrid w:val="0"/>
        <w:spacing w:line="480" w:lineRule="auto"/>
        <w:ind w:leftChars="400"/>
        <w:jc w:val="left"/>
        <w:rPr>
          <w:rFonts w:hint="default" w:ascii="宋体" w:hAnsi="宋体" w:cs="宋体"/>
          <w:sz w:val="32"/>
          <w:szCs w:val="32"/>
          <w:lang w:val="en-US" w:eastAsia="zh-CN"/>
        </w:rPr>
      </w:pPr>
      <w:r>
        <w:rPr>
          <w:rFonts w:hint="eastAsia" w:cs="宋体"/>
          <w:sz w:val="32"/>
          <w:szCs w:val="32"/>
          <w:lang w:val="en-US" w:eastAsia="zh-CN"/>
        </w:rPr>
        <w:t>第六部分  投标人须知</w:t>
      </w:r>
    </w:p>
    <w:p>
      <w:pPr>
        <w:pStyle w:val="9"/>
        <w:rPr>
          <w:rFonts w:hint="eastAsia" w:ascii="宋体" w:hAnsi="宋体" w:cs="宋体"/>
          <w:sz w:val="32"/>
          <w:szCs w:val="32"/>
          <w:lang w:val="en-US" w:eastAsia="zh-CN"/>
        </w:rPr>
      </w:pPr>
    </w:p>
    <w:p>
      <w:pPr>
        <w:rPr>
          <w:rFonts w:hint="eastAsia"/>
          <w:lang w:val="en-US" w:eastAsia="zh-CN"/>
        </w:rPr>
        <w:sectPr>
          <w:pgSz w:w="11906" w:h="16838"/>
          <w:pgMar w:top="1434" w:right="1474" w:bottom="1984" w:left="1474" w:header="851" w:footer="992" w:gutter="0"/>
          <w:pgNumType w:fmt="decimal"/>
          <w:cols w:space="425" w:num="1"/>
          <w:docGrid w:type="lines" w:linePitch="312" w:charSpace="0"/>
        </w:sectPr>
      </w:pPr>
    </w:p>
    <w:p>
      <w:pPr>
        <w:spacing w:line="360" w:lineRule="auto"/>
        <w:jc w:val="center"/>
        <w:rPr>
          <w:rFonts w:hint="eastAsia" w:ascii="宋体" w:hAnsi="宋体" w:cs="宋体"/>
          <w:kern w:val="28"/>
          <w:sz w:val="32"/>
          <w:szCs w:val="32"/>
        </w:rPr>
      </w:pPr>
      <w:bookmarkStart w:id="0" w:name="_Toc35393789"/>
      <w:bookmarkStart w:id="1" w:name="_Toc28359001"/>
      <w:bookmarkStart w:id="2" w:name="_Toc22659"/>
      <w:r>
        <w:rPr>
          <w:rFonts w:hint="eastAsia" w:ascii="宋体" w:hAnsi="宋体" w:cs="宋体"/>
          <w:b/>
          <w:kern w:val="28"/>
          <w:sz w:val="32"/>
          <w:szCs w:val="32"/>
          <w:lang w:val="en-US" w:eastAsia="zh-CN"/>
        </w:rPr>
        <w:t xml:space="preserve">第一部分 </w:t>
      </w:r>
      <w:r>
        <w:rPr>
          <w:rFonts w:hint="eastAsia" w:ascii="宋体" w:hAnsi="宋体" w:cs="宋体"/>
          <w:b/>
          <w:kern w:val="28"/>
          <w:sz w:val="32"/>
          <w:szCs w:val="32"/>
        </w:rPr>
        <w:t>招标公告</w:t>
      </w:r>
      <w:bookmarkEnd w:id="0"/>
      <w:bookmarkEnd w:id="1"/>
      <w:bookmarkEnd w:id="2"/>
    </w:p>
    <w:p>
      <w:pPr>
        <w:pStyle w:val="16"/>
        <w:keepNext w:val="0"/>
        <w:keepLines w:val="0"/>
        <w:pageBreakBefore w:val="0"/>
        <w:widowControl w:val="0"/>
        <w:kinsoku/>
        <w:wordWrap/>
        <w:overflowPunct/>
        <w:topLinePunct w:val="0"/>
        <w:autoSpaceDE w:val="0"/>
        <w:autoSpaceDN w:val="0"/>
        <w:bidi w:val="0"/>
        <w:adjustRightInd/>
        <w:snapToGrid/>
        <w:spacing w:after="0" w:line="579" w:lineRule="exact"/>
        <w:ind w:left="0" w:leftChars="0" w:firstLine="0" w:firstLineChars="0"/>
        <w:jc w:val="center"/>
        <w:textAlignment w:val="auto"/>
        <w:rPr>
          <w:rFonts w:hint="eastAsia" w:ascii="仿宋_GB2312" w:hAnsi="仿宋_GB2312" w:eastAsia="仿宋_GB2312" w:cs="仿宋_GB2312"/>
          <w:i w:val="0"/>
          <w:caps w:val="0"/>
          <w:color w:val="auto"/>
          <w:spacing w:val="0"/>
          <w:sz w:val="24"/>
          <w:szCs w:val="24"/>
          <w:shd w:val="clear" w:fill="FFFFFF"/>
        </w:rPr>
      </w:pPr>
    </w:p>
    <w:p>
      <w:pPr>
        <w:keepNext w:val="0"/>
        <w:keepLines w:val="0"/>
        <w:pageBreakBefore w:val="0"/>
        <w:widowControl w:val="0"/>
        <w:kinsoku/>
        <w:wordWrap/>
        <w:overflowPunct/>
        <w:topLinePunct w:val="0"/>
        <w:bidi w:val="0"/>
        <w:adjustRightInd/>
        <w:snapToGrid/>
        <w:spacing w:after="0" w:line="500" w:lineRule="exact"/>
        <w:ind w:firstLine="560" w:firstLineChars="2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本项目采用院内招标方式组织珠海市香洲区第二人民医院直饮水机租赁服务采购项目活动，欢迎符合资格条件的投标人参加。</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黑体" w:hAnsi="黑体" w:eastAsia="黑体" w:cs="黑体"/>
          <w:b w:val="0"/>
          <w:bCs w:val="0"/>
          <w:color w:val="000000" w:themeColor="text1"/>
          <w:spacing w:val="0"/>
          <w:kern w:val="0"/>
          <w:sz w:val="28"/>
          <w:szCs w:val="28"/>
          <w:lang w:val="en-US" w:eastAsia="zh-CN" w:bidi="ar"/>
          <w14:textFill>
            <w14:solidFill>
              <w14:schemeClr w14:val="tx1"/>
            </w14:solidFill>
          </w14:textFill>
        </w:rPr>
      </w:pPr>
      <w:r>
        <w:rPr>
          <w:rFonts w:hint="eastAsia" w:ascii="黑体" w:hAnsi="黑体" w:eastAsia="黑体" w:cs="黑体"/>
          <w:b w:val="0"/>
          <w:bCs w:val="0"/>
          <w:color w:val="000000" w:themeColor="text1"/>
          <w:spacing w:val="0"/>
          <w:kern w:val="0"/>
          <w:sz w:val="28"/>
          <w:szCs w:val="28"/>
          <w:lang w:val="en-US" w:eastAsia="zh-CN" w:bidi="ar"/>
          <w14:textFill>
            <w14:solidFill>
              <w14:schemeClr w14:val="tx1"/>
            </w14:solidFill>
          </w14:textFill>
        </w:rPr>
        <w:t>一、项目基本情况</w:t>
      </w:r>
    </w:p>
    <w:p>
      <w:pPr>
        <w:keepNext w:val="0"/>
        <w:keepLines w:val="0"/>
        <w:pageBreakBefore w:val="0"/>
        <w:widowControl/>
        <w:kinsoku/>
        <w:wordWrap/>
        <w:overflowPunct/>
        <w:topLinePunct w:val="0"/>
        <w:autoSpaceDE/>
        <w:autoSpaceDN/>
        <w:bidi w:val="0"/>
        <w:adjustRightInd/>
        <w:snapToGrid/>
        <w:spacing w:beforeAutospacing="0" w:after="0" w:afterAutospacing="0" w:line="500" w:lineRule="exact"/>
        <w:ind w:left="1400" w:right="0" w:rightChars="0" w:hanging="1400" w:hangingChars="500"/>
        <w:jc w:val="both"/>
        <w:textAlignment w:val="auto"/>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pPr>
      <w:r>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t>项目名称：珠海市香洲区第二人民医院直饮水机租赁服务采购项目</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default" w:ascii="仿宋" w:hAnsi="仿宋" w:eastAsia="仿宋" w:cs="仿宋"/>
          <w:color w:val="000000" w:themeColor="text1"/>
          <w:spacing w:val="0"/>
          <w:kern w:val="0"/>
          <w:sz w:val="28"/>
          <w:szCs w:val="28"/>
          <w:lang w:val="en-US" w:eastAsia="zh-CN" w:bidi="ar"/>
          <w14:textFill>
            <w14:solidFill>
              <w14:schemeClr w14:val="tx1"/>
            </w14:solidFill>
          </w14:textFill>
        </w:rPr>
      </w:pPr>
      <w:r>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t>项目编号：HQCG2026004</w:t>
      </w:r>
    </w:p>
    <w:p>
      <w:pPr>
        <w:keepNext w:val="0"/>
        <w:keepLines w:val="0"/>
        <w:pageBreakBefore w:val="0"/>
        <w:widowControl/>
        <w:kinsoku/>
        <w:wordWrap/>
        <w:overflowPunct/>
        <w:topLinePunct w:val="0"/>
        <w:autoSpaceDE/>
        <w:autoSpaceDN/>
        <w:bidi w:val="0"/>
        <w:adjustRightInd/>
        <w:snapToGrid/>
        <w:spacing w:beforeAutospacing="0" w:after="0" w:afterAutospacing="0" w:line="500" w:lineRule="exact"/>
        <w:ind w:right="0" w:rightChars="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招标方式：院内招标</w:t>
      </w:r>
    </w:p>
    <w:tbl>
      <w:tblPr>
        <w:tblStyle w:val="19"/>
        <w:tblW w:w="8826" w:type="dxa"/>
        <w:tblInd w:w="10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16"/>
        <w:gridCol w:w="3195"/>
        <w:gridCol w:w="1155"/>
        <w:gridCol w:w="1665"/>
        <w:gridCol w:w="13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blHeader/>
        </w:trPr>
        <w:tc>
          <w:tcPr>
            <w:tcW w:w="1416"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采购标的</w:t>
            </w:r>
          </w:p>
        </w:tc>
        <w:tc>
          <w:tcPr>
            <w:tcW w:w="319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sz w:val="24"/>
                <w:szCs w:val="24"/>
              </w:rPr>
            </w:pPr>
            <w:r>
              <w:rPr>
                <w:rFonts w:hint="eastAsia" w:ascii="宋体" w:hAnsi="宋体" w:eastAsia="宋体" w:cs="宋体"/>
                <w:b/>
                <w:bCs/>
                <w:sz w:val="24"/>
                <w:szCs w:val="24"/>
              </w:rPr>
              <w:t>服务期限</w:t>
            </w:r>
          </w:p>
        </w:tc>
        <w:tc>
          <w:tcPr>
            <w:tcW w:w="115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数量</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（单位）</w:t>
            </w:r>
          </w:p>
        </w:tc>
        <w:tc>
          <w:tcPr>
            <w:tcW w:w="166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技术规格、参数及要求</w:t>
            </w:r>
          </w:p>
        </w:tc>
        <w:tc>
          <w:tcPr>
            <w:tcW w:w="139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trPr>
        <w:tc>
          <w:tcPr>
            <w:tcW w:w="1416"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宋体" w:hAnsi="宋体" w:eastAsia="宋体" w:cs="宋体"/>
                <w:sz w:val="24"/>
                <w:szCs w:val="24"/>
                <w:lang w:val="en-US"/>
              </w:rPr>
            </w:pPr>
            <w:r>
              <w:rPr>
                <w:rFonts w:hint="eastAsia" w:ascii="仿宋" w:hAnsi="仿宋" w:eastAsia="仿宋" w:cs="仿宋"/>
                <w:color w:val="000000" w:themeColor="text1"/>
                <w:spacing w:val="0"/>
                <w:kern w:val="0"/>
                <w:sz w:val="24"/>
                <w:szCs w:val="24"/>
                <w:lang w:val="en-US" w:eastAsia="zh-CN" w:bidi="ar"/>
                <w14:textFill>
                  <w14:solidFill>
                    <w14:schemeClr w14:val="tx1"/>
                  </w14:solidFill>
                </w14:textFill>
              </w:rPr>
              <w:t>直饮水机租赁服务</w:t>
            </w:r>
          </w:p>
        </w:tc>
        <w:tc>
          <w:tcPr>
            <w:tcW w:w="319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仿宋" w:hAnsi="仿宋" w:eastAsia="仿宋" w:cs="仿宋"/>
                <w:color w:val="000000" w:themeColor="text1"/>
                <w:spacing w:val="0"/>
                <w:kern w:val="0"/>
                <w:sz w:val="24"/>
                <w:szCs w:val="24"/>
                <w:lang w:val="en-US" w:eastAsia="zh-CN" w:bidi="ar"/>
                <w14:textFill>
                  <w14:solidFill>
                    <w14:schemeClr w14:val="tx1"/>
                  </w14:solidFill>
                </w14:textFill>
              </w:rPr>
            </w:pPr>
            <w:r>
              <w:rPr>
                <w:rFonts w:hint="eastAsia" w:ascii="仿宋" w:hAnsi="仿宋" w:eastAsia="仿宋" w:cs="仿宋"/>
                <w:color w:val="000000" w:themeColor="text1"/>
                <w:spacing w:val="0"/>
                <w:kern w:val="0"/>
                <w:sz w:val="24"/>
                <w:szCs w:val="24"/>
                <w:lang w:val="en-US" w:eastAsia="zh-CN" w:bidi="ar"/>
                <w14:textFill>
                  <w14:solidFill>
                    <w14:schemeClr w14:val="tx1"/>
                  </w14:solidFill>
                </w14:textFill>
              </w:rPr>
              <w:t>1年（2026年10月1日至2027年9月30日），在合同履约期间，若因采购人实施改扩建项目导致直饮水机租赁服务采购事项进行调整，采购人有权提前1个月书面通知中标供应商，中标供应商应予以配合并完成相关交接工作,以实际服务期限据实结算。因上述调整导致合同无法继续履行的，双方可协商解除合同，采购人不承担违约责任。</w:t>
            </w:r>
          </w:p>
        </w:tc>
        <w:tc>
          <w:tcPr>
            <w:tcW w:w="115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 w:hAnsi="仿宋" w:eastAsia="仿宋" w:cs="仿宋"/>
                <w:color w:val="000000" w:themeColor="text1"/>
                <w:spacing w:val="0"/>
                <w:kern w:val="0"/>
                <w:sz w:val="24"/>
                <w:szCs w:val="24"/>
                <w:lang w:val="en-US" w:eastAsia="zh-CN" w:bidi="ar"/>
                <w14:textFill>
                  <w14:solidFill>
                    <w14:schemeClr w14:val="tx1"/>
                  </w14:solidFill>
                </w14:textFill>
              </w:rPr>
            </w:pPr>
            <w:r>
              <w:rPr>
                <w:rFonts w:hint="eastAsia" w:ascii="仿宋" w:hAnsi="仿宋" w:eastAsia="仿宋" w:cs="仿宋"/>
                <w:color w:val="000000" w:themeColor="text1"/>
                <w:spacing w:val="0"/>
                <w:kern w:val="0"/>
                <w:sz w:val="24"/>
                <w:szCs w:val="24"/>
                <w:lang w:val="en-US" w:eastAsia="zh-CN" w:bidi="ar"/>
                <w14:textFill>
                  <w14:solidFill>
                    <w14:schemeClr w14:val="tx1"/>
                  </w14:solidFill>
                </w14:textFill>
              </w:rPr>
              <w:t>1项</w:t>
            </w:r>
          </w:p>
        </w:tc>
        <w:tc>
          <w:tcPr>
            <w:tcW w:w="166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 w:hAnsi="仿宋" w:eastAsia="仿宋" w:cs="仿宋"/>
                <w:color w:val="000000" w:themeColor="text1"/>
                <w:spacing w:val="0"/>
                <w:kern w:val="0"/>
                <w:sz w:val="24"/>
                <w:szCs w:val="24"/>
                <w:lang w:val="en-US" w:eastAsia="zh-CN" w:bidi="ar"/>
                <w14:textFill>
                  <w14:solidFill>
                    <w14:schemeClr w14:val="tx1"/>
                  </w14:solidFill>
                </w14:textFill>
              </w:rPr>
            </w:pPr>
            <w:r>
              <w:rPr>
                <w:rFonts w:hint="eastAsia" w:ascii="仿宋" w:hAnsi="仿宋" w:eastAsia="仿宋" w:cs="仿宋"/>
                <w:color w:val="000000" w:themeColor="text1"/>
                <w:spacing w:val="0"/>
                <w:kern w:val="0"/>
                <w:sz w:val="24"/>
                <w:szCs w:val="24"/>
                <w:lang w:val="en-US" w:eastAsia="zh-CN" w:bidi="ar"/>
                <w14:textFill>
                  <w14:solidFill>
                    <w14:schemeClr w14:val="tx1"/>
                  </w14:solidFill>
                </w14:textFill>
              </w:rPr>
              <w:t>详见《用户需求书》</w:t>
            </w:r>
          </w:p>
        </w:tc>
        <w:tc>
          <w:tcPr>
            <w:tcW w:w="1395"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仿宋" w:hAnsi="仿宋" w:eastAsia="仿宋" w:cs="仿宋"/>
                <w:color w:val="000000" w:themeColor="text1"/>
                <w:spacing w:val="0"/>
                <w:kern w:val="0"/>
                <w:sz w:val="24"/>
                <w:szCs w:val="24"/>
                <w:lang w:val="en-US" w:eastAsia="zh-CN" w:bidi="ar"/>
                <w14:textFill>
                  <w14:solidFill>
                    <w14:schemeClr w14:val="tx1"/>
                  </w14:solidFill>
                </w14:textFill>
              </w:rPr>
            </w:pPr>
            <w:r>
              <w:rPr>
                <w:rFonts w:hint="eastAsia" w:ascii="仿宋" w:hAnsi="仿宋" w:eastAsia="仿宋" w:cs="仿宋"/>
                <w:color w:val="000000" w:themeColor="text1"/>
                <w:spacing w:val="0"/>
                <w:kern w:val="0"/>
                <w:sz w:val="24"/>
                <w:szCs w:val="24"/>
                <w:lang w:val="en-US" w:eastAsia="zh-CN" w:bidi="ar"/>
                <w14:textFill>
                  <w14:solidFill>
                    <w14:schemeClr w14:val="tx1"/>
                  </w14:solidFill>
                </w14:textFill>
              </w:rPr>
              <w:t>19462</w:t>
            </w:r>
          </w:p>
        </w:tc>
      </w:tr>
    </w:tbl>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pPr>
      <w:r>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t>注明：</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pPr>
      <w:r>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t>1.本项目报价采用总价报价的方式，投标人的投标总价不能高于最高限价，否则其报价将被认定为无效报价。</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t>2.</w:t>
      </w:r>
      <w:r>
        <w:rPr>
          <w:rFonts w:hint="eastAsia" w:ascii="仿宋" w:hAnsi="仿宋" w:eastAsia="仿宋" w:cs="仿宋"/>
          <w:i w:val="0"/>
          <w:iCs w:val="0"/>
          <w:caps w:val="0"/>
          <w:spacing w:val="0"/>
          <w:kern w:val="2"/>
          <w:sz w:val="28"/>
          <w:szCs w:val="28"/>
          <w:shd w:val="clear"/>
          <w:vertAlign w:val="baseline"/>
          <w:lang w:val="en-US" w:eastAsia="zh-CN" w:bidi="ar"/>
        </w:rPr>
        <w:t>本项目不接受联合体投标，</w:t>
      </w:r>
      <w:r>
        <w:rPr>
          <w:rFonts w:hint="eastAsia" w:ascii="仿宋" w:hAnsi="仿宋" w:eastAsia="仿宋" w:cs="仿宋"/>
          <w:sz w:val="28"/>
          <w:szCs w:val="28"/>
        </w:rPr>
        <w:t>不允许分包</w:t>
      </w:r>
      <w:r>
        <w:rPr>
          <w:rFonts w:hint="eastAsia" w:ascii="仿宋" w:hAnsi="仿宋" w:eastAsia="仿宋" w:cs="仿宋"/>
          <w:sz w:val="28"/>
          <w:szCs w:val="28"/>
          <w:lang w:eastAsia="zh-CN"/>
        </w:rPr>
        <w:t>、</w:t>
      </w:r>
      <w:r>
        <w:rPr>
          <w:rFonts w:hint="eastAsia" w:ascii="仿宋" w:hAnsi="仿宋" w:eastAsia="仿宋" w:cs="仿宋"/>
          <w:sz w:val="28"/>
          <w:szCs w:val="28"/>
        </w:rPr>
        <w:t>转包</w:t>
      </w:r>
      <w:r>
        <w:rPr>
          <w:rFonts w:hint="eastAsia" w:ascii="仿宋" w:hAnsi="仿宋" w:eastAsia="仿宋" w:cs="仿宋"/>
          <w:i w:val="0"/>
          <w:iCs w:val="0"/>
          <w:caps w:val="0"/>
          <w:spacing w:val="0"/>
          <w:kern w:val="2"/>
          <w:sz w:val="28"/>
          <w:szCs w:val="28"/>
          <w:shd w:val="clear"/>
          <w:vertAlign w:val="baseline"/>
          <w:lang w:val="en-US" w:eastAsia="zh-CN" w:bidi="ar"/>
        </w:rPr>
        <w:t>。</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3.服务地点：珠海市香洲区第二人民医院或采购人指定地点。</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500" w:lineRule="exact"/>
        <w:ind w:right="0" w:rightChars="0"/>
        <w:jc w:val="both"/>
        <w:textAlignment w:val="auto"/>
        <w:rPr>
          <w:rFonts w:hint="eastAsia" w:ascii="黑体" w:hAnsi="黑体" w:eastAsia="黑体" w:cs="黑体"/>
          <w:b w:val="0"/>
          <w:bCs w:val="0"/>
          <w:color w:val="000000" w:themeColor="text1"/>
          <w:spacing w:val="0"/>
          <w:kern w:val="0"/>
          <w:sz w:val="28"/>
          <w:szCs w:val="28"/>
          <w:lang w:val="en-US" w:eastAsia="zh-CN" w:bidi="ar"/>
          <w14:textFill>
            <w14:solidFill>
              <w14:schemeClr w14:val="tx1"/>
            </w14:solidFill>
          </w14:textFill>
        </w:rPr>
      </w:pPr>
      <w:r>
        <w:rPr>
          <w:rFonts w:hint="eastAsia" w:ascii="黑体" w:hAnsi="黑体" w:eastAsia="黑体" w:cs="黑体"/>
          <w:b w:val="0"/>
          <w:bCs w:val="0"/>
          <w:color w:val="000000" w:themeColor="text1"/>
          <w:spacing w:val="0"/>
          <w:kern w:val="0"/>
          <w:sz w:val="28"/>
          <w:szCs w:val="28"/>
          <w:lang w:val="en-US" w:eastAsia="zh-CN" w:bidi="ar"/>
          <w14:textFill>
            <w14:solidFill>
              <w14:schemeClr w14:val="tx1"/>
            </w14:solidFill>
          </w14:textFill>
        </w:rPr>
        <w:t>二、申请人的资格要求</w:t>
      </w:r>
    </w:p>
    <w:p>
      <w:pPr>
        <w:keepNext w:val="0"/>
        <w:keepLines w:val="0"/>
        <w:pageBreakBefore w:val="0"/>
        <w:widowControl w:val="0"/>
        <w:kinsoku/>
        <w:wordWrap/>
        <w:overflowPunct/>
        <w:topLinePunct w:val="0"/>
        <w:autoSpaceDE/>
        <w:autoSpaceDN/>
        <w:bidi w:val="0"/>
        <w:adjustRightInd/>
        <w:snapToGrid/>
        <w:spacing w:after="0" w:line="5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符合《中华人民共和国政府采购法》第二十二条规定的条件。</w:t>
      </w:r>
    </w:p>
    <w:p>
      <w:pPr>
        <w:keepNext w:val="0"/>
        <w:keepLines w:val="0"/>
        <w:pageBreakBefore w:val="0"/>
        <w:widowControl w:val="0"/>
        <w:kinsoku/>
        <w:wordWrap/>
        <w:overflowPunct/>
        <w:topLinePunct w:val="0"/>
        <w:bidi w:val="0"/>
        <w:adjustRightInd/>
        <w:snapToGrid/>
        <w:spacing w:after="0" w:line="500" w:lineRule="exact"/>
        <w:ind w:firstLine="280" w:firstLineChars="1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1）具有独立承担民事责任的能力：在中华人民共和国境内注册的法人或其他组织或自然人，投标（响应）时提交有效的营业执照（或事业法人登记证或身份证等相关证明）复印件。分支机构投标的，须提供总公司和分公司营业执照复印件，总公司出具给分支机构的授权书。</w:t>
      </w:r>
    </w:p>
    <w:p>
      <w:pPr>
        <w:keepNext w:val="0"/>
        <w:keepLines w:val="0"/>
        <w:pageBreakBefore w:val="0"/>
        <w:widowControl w:val="0"/>
        <w:kinsoku/>
        <w:wordWrap/>
        <w:overflowPunct/>
        <w:topLinePunct w:val="0"/>
        <w:bidi w:val="0"/>
        <w:adjustRightInd/>
        <w:snapToGrid/>
        <w:spacing w:after="0" w:line="500" w:lineRule="exact"/>
        <w:ind w:firstLine="280" w:firstLineChars="1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（2）有依法缴纳税收和社会保障资金的良好记录：提供《投标人资格声明函》（格式可参照招标公告附件）。</w:t>
      </w:r>
    </w:p>
    <w:p>
      <w:pPr>
        <w:keepNext w:val="0"/>
        <w:keepLines w:val="0"/>
        <w:pageBreakBefore w:val="0"/>
        <w:widowControl w:val="0"/>
        <w:kinsoku/>
        <w:wordWrap/>
        <w:overflowPunct/>
        <w:topLinePunct w:val="0"/>
        <w:bidi w:val="0"/>
        <w:adjustRightInd/>
        <w:snapToGrid/>
        <w:spacing w:after="0" w:line="500" w:lineRule="exact"/>
        <w:ind w:firstLine="280" w:firstLineChars="1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（3）具有良好的商业信誉和健全的财务会计制度：提供《投标人资格声明函》（格式可参照招标公告附件）。</w:t>
      </w:r>
    </w:p>
    <w:p>
      <w:pPr>
        <w:keepNext w:val="0"/>
        <w:keepLines w:val="0"/>
        <w:pageBreakBefore w:val="0"/>
        <w:widowControl w:val="0"/>
        <w:kinsoku/>
        <w:wordWrap/>
        <w:overflowPunct/>
        <w:topLinePunct w:val="0"/>
        <w:bidi w:val="0"/>
        <w:adjustRightInd/>
        <w:snapToGrid/>
        <w:spacing w:after="0" w:line="500" w:lineRule="exact"/>
        <w:ind w:firstLine="280" w:firstLineChars="1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（4）履行合同所必需的设备和专业技术能力：提供《投标人资格声明函》（格式可参照招标公告附件）。</w:t>
      </w:r>
    </w:p>
    <w:p>
      <w:pPr>
        <w:keepNext w:val="0"/>
        <w:keepLines w:val="0"/>
        <w:pageBreakBefore w:val="0"/>
        <w:widowControl w:val="0"/>
        <w:kinsoku/>
        <w:wordWrap/>
        <w:overflowPunct/>
        <w:topLinePunct w:val="0"/>
        <w:bidi w:val="0"/>
        <w:adjustRightInd/>
        <w:snapToGrid/>
        <w:spacing w:after="0" w:line="500" w:lineRule="exact"/>
        <w:ind w:firstLine="280" w:firstLineChars="1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（5）参加招标活动前3年内，在经营活动中没有重大违法记录：提供《投标人资格声明函》（格式可参照招标公告附件）。</w:t>
      </w:r>
    </w:p>
    <w:p>
      <w:pPr>
        <w:keepNext w:val="0"/>
        <w:keepLines w:val="0"/>
        <w:pageBreakBefore w:val="0"/>
        <w:widowControl w:val="0"/>
        <w:kinsoku/>
        <w:wordWrap/>
        <w:overflowPunct/>
        <w:topLinePunct w:val="0"/>
        <w:autoSpaceDE w:val="0"/>
        <w:autoSpaceDN w:val="0"/>
        <w:bidi w:val="0"/>
        <w:adjustRightInd/>
        <w:snapToGrid/>
        <w:spacing w:before="157" w:beforeLines="50" w:after="0" w:line="500" w:lineRule="exact"/>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2.落实政府采购政策需满足的资格要求：</w:t>
      </w:r>
    </w:p>
    <w:p>
      <w:pPr>
        <w:keepNext w:val="0"/>
        <w:keepLines w:val="0"/>
        <w:pageBreakBefore w:val="0"/>
        <w:widowControl w:val="0"/>
        <w:kinsoku/>
        <w:wordWrap/>
        <w:overflowPunct/>
        <w:topLinePunct w:val="0"/>
        <w:bidi w:val="0"/>
        <w:adjustRightInd/>
        <w:snapToGrid/>
        <w:spacing w:after="0" w:line="500" w:lineRule="exact"/>
        <w:ind w:firstLine="280" w:firstLineChars="100"/>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本项目专门面向中小企业，供应商应为中小微企业、监狱企业、残疾人福利性单位。（提供《中小企业声明函》或属于监狱企业的证明材料或《残疾人福利性单位声明函》，否则不予认定）</w:t>
      </w:r>
    </w:p>
    <w:p>
      <w:pPr>
        <w:keepNext w:val="0"/>
        <w:keepLines w:val="0"/>
        <w:pageBreakBefore w:val="0"/>
        <w:widowControl w:val="0"/>
        <w:kinsoku/>
        <w:wordWrap/>
        <w:overflowPunct/>
        <w:topLinePunct w:val="0"/>
        <w:autoSpaceDE w:val="0"/>
        <w:autoSpaceDN w:val="0"/>
        <w:bidi w:val="0"/>
        <w:adjustRightInd/>
        <w:snapToGrid/>
        <w:spacing w:before="157" w:beforeLines="50" w:after="0" w:line="500" w:lineRule="exact"/>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3.本项目的特定资格要求：</w:t>
      </w:r>
    </w:p>
    <w:p>
      <w:pPr>
        <w:keepNext w:val="0"/>
        <w:keepLines w:val="0"/>
        <w:pageBreakBefore w:val="0"/>
        <w:widowControl w:val="0"/>
        <w:kinsoku/>
        <w:wordWrap/>
        <w:overflowPunct/>
        <w:topLinePunct w:val="0"/>
        <w:bidi w:val="0"/>
        <w:adjustRightInd/>
        <w:snapToGrid/>
        <w:spacing w:after="0" w:line="500" w:lineRule="exact"/>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（1）供应商未列入“信用中国”网站</w:t>
      </w:r>
      <w:r>
        <w:rPr>
          <w:rFonts w:hint="default" w:ascii="Times New Roman" w:hAnsi="Times New Roman" w:eastAsia="仿宋" w:cs="Times New Roman"/>
          <w:i w:val="0"/>
          <w:iCs w:val="0"/>
          <w:caps w:val="0"/>
          <w:spacing w:val="0"/>
          <w:sz w:val="28"/>
          <w:szCs w:val="28"/>
          <w:shd w:val="clear"/>
          <w:lang w:val="en-US" w:eastAsia="zh-CN"/>
        </w:rPr>
        <w:t>(www.creditchina.gov.cn)</w:t>
      </w:r>
      <w:r>
        <w:rPr>
          <w:rFonts w:hint="eastAsia" w:ascii="仿宋" w:hAnsi="仿宋" w:eastAsia="仿宋" w:cs="仿宋"/>
          <w:i w:val="0"/>
          <w:iCs w:val="0"/>
          <w:caps w:val="0"/>
          <w:spacing w:val="0"/>
          <w:sz w:val="28"/>
          <w:szCs w:val="28"/>
          <w:shd w:val="clear"/>
          <w:lang w:val="en-US" w:eastAsia="zh-CN"/>
        </w:rPr>
        <w:t>“记录失信被执行人或重大税收违法案件当事人名单或政府采购严重违法失信行为”的记录名单；不处于中国政府采购网</w:t>
      </w:r>
      <w:r>
        <w:rPr>
          <w:rFonts w:hint="default" w:ascii="Times New Roman" w:hAnsi="Times New Roman" w:eastAsia="仿宋" w:cs="Times New Roman"/>
          <w:i w:val="0"/>
          <w:iCs w:val="0"/>
          <w:caps w:val="0"/>
          <w:spacing w:val="0"/>
          <w:sz w:val="28"/>
          <w:szCs w:val="28"/>
          <w:shd w:val="clear"/>
          <w:lang w:val="en-US" w:eastAsia="zh-CN"/>
        </w:rPr>
        <w:t>(www.ccgp.gov.cn)</w:t>
      </w:r>
      <w:r>
        <w:rPr>
          <w:rFonts w:hint="eastAsia" w:ascii="仿宋" w:hAnsi="仿宋" w:eastAsia="仿宋" w:cs="仿宋"/>
          <w:i w:val="0"/>
          <w:iCs w:val="0"/>
          <w:caps w:val="0"/>
          <w:spacing w:val="0"/>
          <w:sz w:val="28"/>
          <w:szCs w:val="28"/>
          <w:shd w:val="clear"/>
          <w:lang w:val="en-US" w:eastAsia="zh-CN"/>
        </w:rPr>
        <w:t>“政府采购严重违法失信行为信息记录”中的禁止参加政府采购活动期间。（以资格审查人员于投标截止时间当天在“信用中国”网站</w:t>
      </w:r>
      <w:r>
        <w:rPr>
          <w:rFonts w:hint="default" w:ascii="Times New Roman" w:hAnsi="Times New Roman" w:eastAsia="仿宋" w:cs="Times New Roman"/>
          <w:i w:val="0"/>
          <w:iCs w:val="0"/>
          <w:caps w:val="0"/>
          <w:spacing w:val="0"/>
          <w:sz w:val="28"/>
          <w:szCs w:val="28"/>
          <w:shd w:val="clear"/>
          <w:lang w:val="en-US" w:eastAsia="zh-CN"/>
        </w:rPr>
        <w:t>（www.creditchina.gov.cn）</w:t>
      </w:r>
      <w:r>
        <w:rPr>
          <w:rFonts w:hint="eastAsia" w:ascii="仿宋" w:hAnsi="仿宋" w:eastAsia="仿宋" w:cs="仿宋"/>
          <w:i w:val="0"/>
          <w:iCs w:val="0"/>
          <w:caps w:val="0"/>
          <w:spacing w:val="0"/>
          <w:sz w:val="28"/>
          <w:szCs w:val="28"/>
          <w:shd w:val="clear"/>
          <w:lang w:val="en-US" w:eastAsia="zh-CN"/>
        </w:rPr>
        <w:t>及中国政府采购网</w:t>
      </w:r>
      <w:r>
        <w:rPr>
          <w:rFonts w:hint="default" w:ascii="Times New Roman" w:hAnsi="Times New Roman" w:eastAsia="仿宋" w:cs="Times New Roman"/>
          <w:i w:val="0"/>
          <w:iCs w:val="0"/>
          <w:caps w:val="0"/>
          <w:spacing w:val="0"/>
          <w:sz w:val="28"/>
          <w:szCs w:val="28"/>
          <w:shd w:val="clear"/>
          <w:lang w:val="en-US" w:eastAsia="zh-CN"/>
        </w:rPr>
        <w:t>（http://www.ccgp.gov.cn/）</w:t>
      </w:r>
      <w:r>
        <w:rPr>
          <w:rFonts w:hint="eastAsia" w:ascii="仿宋" w:hAnsi="仿宋" w:eastAsia="仿宋" w:cs="仿宋"/>
          <w:i w:val="0"/>
          <w:iCs w:val="0"/>
          <w:caps w:val="0"/>
          <w:spacing w:val="0"/>
          <w:sz w:val="28"/>
          <w:szCs w:val="28"/>
          <w:shd w:val="clear"/>
          <w:lang w:val="en-US" w:eastAsia="zh-CN"/>
        </w:rPr>
        <w:t>查询结果为准，如相关失信记录已失效，供应商需提供相关证明资料）。</w:t>
      </w:r>
    </w:p>
    <w:p>
      <w:pPr>
        <w:keepNext w:val="0"/>
        <w:keepLines w:val="0"/>
        <w:pageBreakBefore w:val="0"/>
        <w:widowControl w:val="0"/>
        <w:kinsoku/>
        <w:wordWrap/>
        <w:overflowPunct/>
        <w:topLinePunct w:val="0"/>
        <w:bidi w:val="0"/>
        <w:adjustRightInd/>
        <w:snapToGrid/>
        <w:spacing w:after="0" w:line="500" w:lineRule="exact"/>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2）单位负责人为同一人或者存在直接控股、管理关系的不同供应商，不得同时参加本招标项目投标（响应）。为本项目提供整体设计、规范编制或者项目管理、监理、检测等服务的供应商，不得再参与本项目投标（响应）。提供《投标人资格声明函》（格式可参照招标公告附件）。</w:t>
      </w:r>
    </w:p>
    <w:p>
      <w:pPr>
        <w:pStyle w:val="18"/>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Lines="-2147483648" w:beforeAutospacing="0" w:after="225" w:afterAutospacing="0" w:line="240" w:lineRule="auto"/>
        <w:ind w:right="0" w:rightChars="0"/>
        <w:jc w:val="left"/>
        <w:textAlignment w:val="auto"/>
        <w:rPr>
          <w:rFonts w:hint="eastAsia" w:ascii="黑体" w:hAnsi="黑体" w:eastAsia="黑体" w:cs="黑体"/>
          <w:b w:val="0"/>
          <w:bCs w:val="0"/>
          <w:i w:val="0"/>
          <w:iCs w:val="0"/>
          <w:caps w:val="0"/>
          <w:color w:val="000000" w:themeColor="text1"/>
          <w:spacing w:val="0"/>
          <w:sz w:val="28"/>
          <w:szCs w:val="28"/>
          <w:highlight w:val="none"/>
          <w:shd w:val="clear"/>
          <w14:textFill>
            <w14:solidFill>
              <w14:schemeClr w14:val="tx1"/>
            </w14:solidFill>
          </w14:textFill>
        </w:rPr>
      </w:pPr>
      <w:r>
        <w:rPr>
          <w:rFonts w:hint="eastAsia" w:ascii="黑体" w:hAnsi="黑体" w:eastAsia="黑体" w:cs="黑体"/>
          <w:b w:val="0"/>
          <w:bCs w:val="0"/>
          <w:i w:val="0"/>
          <w:iCs w:val="0"/>
          <w:caps w:val="0"/>
          <w:color w:val="000000" w:themeColor="text1"/>
          <w:spacing w:val="0"/>
          <w:sz w:val="28"/>
          <w:szCs w:val="28"/>
          <w:shd w:val="clear"/>
          <w:lang w:val="en-US" w:eastAsia="zh-CN"/>
          <w14:textFill>
            <w14:solidFill>
              <w14:schemeClr w14:val="tx1"/>
            </w14:solidFill>
          </w14:textFill>
        </w:rPr>
        <w:t>三、获取采</w:t>
      </w:r>
      <w:r>
        <w:rPr>
          <w:rFonts w:hint="eastAsia" w:ascii="黑体" w:hAnsi="黑体" w:eastAsia="黑体" w:cs="黑体"/>
          <w:b w:val="0"/>
          <w:bCs w:val="0"/>
          <w:i w:val="0"/>
          <w:iCs w:val="0"/>
          <w:caps w:val="0"/>
          <w:color w:val="000000" w:themeColor="text1"/>
          <w:spacing w:val="0"/>
          <w:sz w:val="28"/>
          <w:szCs w:val="28"/>
          <w:highlight w:val="none"/>
          <w:shd w:val="clear"/>
          <w:lang w:val="en-US" w:eastAsia="zh-CN"/>
          <w14:textFill>
            <w14:solidFill>
              <w14:schemeClr w14:val="tx1"/>
            </w14:solidFill>
          </w14:textFill>
        </w:rPr>
        <w:t>购文件</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highlight w:val="none"/>
          <w:shd w:val="clear"/>
          <w:lang w:val="en-US" w:eastAsia="zh-CN"/>
        </w:rPr>
        <w:t>时间：2026年8月13日至2026年8月20日</w:t>
      </w:r>
      <w:r>
        <w:rPr>
          <w:rFonts w:hint="eastAsia" w:ascii="仿宋" w:hAnsi="仿宋" w:eastAsia="仿宋" w:cs="仿宋"/>
          <w:i w:val="0"/>
          <w:iCs w:val="0"/>
          <w:caps w:val="0"/>
          <w:spacing w:val="0"/>
          <w:sz w:val="28"/>
          <w:szCs w:val="28"/>
          <w:shd w:val="clear"/>
          <w:lang w:val="en-US" w:eastAsia="zh-CN"/>
        </w:rPr>
        <w:t>（上班时间段：8:00-12:00,14:00-17:00，节假日除外）。</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eastAsia="zh-CN"/>
        </w:rPr>
        <w:t>方式：</w:t>
      </w:r>
      <w:r>
        <w:rPr>
          <w:rFonts w:hint="eastAsia" w:ascii="仿宋" w:hAnsi="仿宋" w:eastAsia="仿宋" w:cs="仿宋"/>
          <w:i w:val="0"/>
          <w:iCs w:val="0"/>
          <w:caps w:val="0"/>
          <w:spacing w:val="0"/>
          <w:sz w:val="28"/>
          <w:szCs w:val="28"/>
          <w:shd w:val="clear"/>
          <w:lang w:val="en-US" w:eastAsia="zh-CN"/>
        </w:rPr>
        <w:t>投标人从公告链接自行下载并填写《报名表》（见附件）。</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500" w:lineRule="exact"/>
        <w:ind w:right="0" w:rightChars="0"/>
        <w:jc w:val="both"/>
        <w:textAlignment w:val="auto"/>
        <w:rPr>
          <w:rFonts w:hint="eastAsia" w:ascii="黑体" w:hAnsi="黑体" w:eastAsia="黑体" w:cs="黑体"/>
          <w:b w:val="0"/>
          <w:bCs w:val="0"/>
          <w:i w:val="0"/>
          <w:iCs w:val="0"/>
          <w:caps w:val="0"/>
          <w:color w:val="000000" w:themeColor="text1"/>
          <w:spacing w:val="0"/>
          <w:sz w:val="28"/>
          <w:szCs w:val="28"/>
          <w:highlight w:val="none"/>
          <w:shd w:val="clear"/>
          <w:lang w:val="en-US" w:eastAsia="zh-CN"/>
          <w14:textFill>
            <w14:solidFill>
              <w14:schemeClr w14:val="tx1"/>
            </w14:solidFill>
          </w14:textFill>
        </w:rPr>
      </w:pPr>
      <w:r>
        <w:rPr>
          <w:rFonts w:hint="eastAsia" w:ascii="黑体" w:hAnsi="黑体" w:eastAsia="黑体" w:cs="黑体"/>
          <w:b w:val="0"/>
          <w:bCs w:val="0"/>
          <w:i w:val="0"/>
          <w:iCs w:val="0"/>
          <w:caps w:val="0"/>
          <w:color w:val="000000" w:themeColor="text1"/>
          <w:spacing w:val="0"/>
          <w:sz w:val="28"/>
          <w:szCs w:val="28"/>
          <w:shd w:val="clear"/>
          <w:lang w:val="en-US" w:eastAsia="zh-CN"/>
          <w14:textFill>
            <w14:solidFill>
              <w14:schemeClr w14:val="tx1"/>
            </w14:solidFill>
          </w14:textFill>
        </w:rPr>
        <w:t>四、响应文件提</w:t>
      </w:r>
      <w:r>
        <w:rPr>
          <w:rFonts w:hint="eastAsia" w:ascii="黑体" w:hAnsi="黑体" w:eastAsia="黑体" w:cs="黑体"/>
          <w:b w:val="0"/>
          <w:bCs w:val="0"/>
          <w:i w:val="0"/>
          <w:iCs w:val="0"/>
          <w:caps w:val="0"/>
          <w:color w:val="000000" w:themeColor="text1"/>
          <w:spacing w:val="0"/>
          <w:sz w:val="28"/>
          <w:szCs w:val="28"/>
          <w:highlight w:val="none"/>
          <w:shd w:val="clear"/>
          <w:lang w:val="en-US" w:eastAsia="zh-CN"/>
          <w14:textFill>
            <w14:solidFill>
              <w14:schemeClr w14:val="tx1"/>
            </w14:solidFill>
          </w14:textFill>
        </w:rPr>
        <w:t>交</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highlight w:val="none"/>
          <w:shd w:val="clear"/>
          <w:lang w:val="en-US" w:eastAsia="zh-CN"/>
        </w:rPr>
      </w:pPr>
      <w:r>
        <w:rPr>
          <w:rFonts w:hint="eastAsia" w:ascii="仿宋" w:hAnsi="仿宋" w:eastAsia="仿宋" w:cs="仿宋"/>
          <w:i w:val="0"/>
          <w:iCs w:val="0"/>
          <w:caps w:val="0"/>
          <w:spacing w:val="0"/>
          <w:sz w:val="28"/>
          <w:szCs w:val="28"/>
          <w:highlight w:val="none"/>
          <w:shd w:val="clear"/>
          <w:lang w:val="en-US" w:eastAsia="zh-CN"/>
        </w:rPr>
        <w:t>截止时间：2026年8月25日14时30分（北京时间）。</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highlight w:val="none"/>
          <w:shd w:val="clear"/>
          <w:lang w:val="en-US" w:eastAsia="zh-CN"/>
        </w:rPr>
      </w:pPr>
      <w:r>
        <w:rPr>
          <w:rFonts w:hint="eastAsia" w:ascii="仿宋" w:hAnsi="仿宋" w:eastAsia="仿宋" w:cs="仿宋"/>
          <w:i w:val="0"/>
          <w:iCs w:val="0"/>
          <w:caps w:val="0"/>
          <w:spacing w:val="0"/>
          <w:sz w:val="28"/>
          <w:szCs w:val="28"/>
          <w:highlight w:val="none"/>
          <w:shd w:val="clear"/>
          <w:lang w:val="en-US" w:eastAsia="zh-CN"/>
        </w:rPr>
        <w:t>地点：珠海市香洲区第二人民医院保障楼207室。</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highlight w:val="none"/>
          <w:shd w:val="clear"/>
          <w:lang w:val="en-US" w:eastAsia="zh-CN"/>
        </w:rPr>
      </w:pPr>
      <w:r>
        <w:rPr>
          <w:rFonts w:hint="eastAsia" w:ascii="仿宋" w:hAnsi="仿宋" w:eastAsia="仿宋" w:cs="仿宋"/>
          <w:i w:val="0"/>
          <w:iCs w:val="0"/>
          <w:caps w:val="0"/>
          <w:spacing w:val="0"/>
          <w:sz w:val="28"/>
          <w:szCs w:val="28"/>
          <w:highlight w:val="none"/>
          <w:shd w:val="clear"/>
          <w:lang w:val="en-US" w:eastAsia="zh-CN"/>
        </w:rPr>
        <w:t>响应文件份数：正本一份，副本两份。</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highlight w:val="none"/>
          <w:shd w:val="clear"/>
          <w:lang w:val="en-US" w:eastAsia="zh-CN"/>
        </w:rPr>
      </w:pPr>
      <w:r>
        <w:rPr>
          <w:rFonts w:hint="eastAsia" w:ascii="仿宋" w:hAnsi="仿宋" w:eastAsia="仿宋" w:cs="仿宋"/>
          <w:i w:val="0"/>
          <w:iCs w:val="0"/>
          <w:caps w:val="0"/>
          <w:spacing w:val="0"/>
          <w:sz w:val="28"/>
          <w:szCs w:val="28"/>
          <w:highlight w:val="none"/>
          <w:shd w:val="clear"/>
          <w:lang w:val="en-US" w:eastAsia="zh-CN"/>
        </w:rPr>
        <w:t>说明：响应文件需密闭投递，投递文件封面需注明参加的项目、提交单位、联系人、联系电话等信息并加盖公章。</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500" w:lineRule="exact"/>
        <w:ind w:right="0" w:rightChars="0"/>
        <w:jc w:val="both"/>
        <w:textAlignment w:val="auto"/>
        <w:rPr>
          <w:rFonts w:hint="eastAsia" w:ascii="黑体" w:hAnsi="黑体" w:eastAsia="黑体" w:cs="黑体"/>
          <w:b w:val="0"/>
          <w:bCs w:val="0"/>
          <w:i w:val="0"/>
          <w:iCs w:val="0"/>
          <w:caps w:val="0"/>
          <w:color w:val="000000" w:themeColor="text1"/>
          <w:spacing w:val="0"/>
          <w:sz w:val="28"/>
          <w:szCs w:val="28"/>
          <w:highlight w:val="none"/>
          <w:shd w:val="clear"/>
          <w:lang w:val="en-US" w:eastAsia="zh-CN"/>
          <w14:textFill>
            <w14:solidFill>
              <w14:schemeClr w14:val="tx1"/>
            </w14:solidFill>
          </w14:textFill>
        </w:rPr>
      </w:pPr>
      <w:r>
        <w:rPr>
          <w:rFonts w:hint="eastAsia" w:ascii="黑体" w:hAnsi="黑体" w:eastAsia="黑体" w:cs="黑体"/>
          <w:b w:val="0"/>
          <w:bCs w:val="0"/>
          <w:i w:val="0"/>
          <w:iCs w:val="0"/>
          <w:caps w:val="0"/>
          <w:color w:val="000000" w:themeColor="text1"/>
          <w:spacing w:val="0"/>
          <w:sz w:val="28"/>
          <w:szCs w:val="28"/>
          <w:highlight w:val="none"/>
          <w:shd w:val="clear"/>
          <w:lang w:val="en-US" w:eastAsia="zh-CN"/>
          <w14:textFill>
            <w14:solidFill>
              <w14:schemeClr w14:val="tx1"/>
            </w14:solidFill>
          </w14:textFill>
        </w:rPr>
        <w:t>五、开启</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highlight w:val="none"/>
          <w:shd w:val="clear"/>
          <w:lang w:val="en-US" w:eastAsia="zh-CN"/>
        </w:rPr>
      </w:pPr>
      <w:r>
        <w:rPr>
          <w:rFonts w:hint="eastAsia" w:ascii="仿宋" w:hAnsi="仿宋" w:eastAsia="仿宋" w:cs="仿宋"/>
          <w:i w:val="0"/>
          <w:iCs w:val="0"/>
          <w:caps w:val="0"/>
          <w:spacing w:val="0"/>
          <w:sz w:val="28"/>
          <w:szCs w:val="28"/>
          <w:highlight w:val="none"/>
          <w:shd w:val="clear"/>
          <w:lang w:val="en-US" w:eastAsia="zh-CN"/>
        </w:rPr>
        <w:t>时间：2026年8月25日14时30分（北京时间）（自招标文件开始发出之日起至投标人提交投标文件截至之日止，不得少于5个自然日）。</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500" w:lineRule="exact"/>
        <w:ind w:right="0" w:rightChars="0"/>
        <w:jc w:val="both"/>
        <w:textAlignment w:val="auto"/>
        <w:rPr>
          <w:rFonts w:hint="eastAsia" w:ascii="黑体" w:hAnsi="黑体" w:eastAsia="黑体" w:cs="黑体"/>
          <w:b w:val="0"/>
          <w:bCs w:val="0"/>
          <w:i w:val="0"/>
          <w:iCs w:val="0"/>
          <w:caps w:val="0"/>
          <w:color w:val="000000" w:themeColor="text1"/>
          <w:spacing w:val="0"/>
          <w:sz w:val="28"/>
          <w:szCs w:val="28"/>
          <w:highlight w:val="none"/>
          <w:shd w:val="clear"/>
          <w:lang w:val="en-US" w:eastAsia="zh-CN"/>
          <w14:textFill>
            <w14:solidFill>
              <w14:schemeClr w14:val="tx1"/>
            </w14:solidFill>
          </w14:textFill>
        </w:rPr>
      </w:pPr>
      <w:r>
        <w:rPr>
          <w:rFonts w:hint="eastAsia" w:ascii="黑体" w:hAnsi="黑体" w:eastAsia="黑体" w:cs="黑体"/>
          <w:b w:val="0"/>
          <w:bCs w:val="0"/>
          <w:i w:val="0"/>
          <w:iCs w:val="0"/>
          <w:caps w:val="0"/>
          <w:color w:val="000000" w:themeColor="text1"/>
          <w:spacing w:val="0"/>
          <w:sz w:val="28"/>
          <w:szCs w:val="28"/>
          <w:highlight w:val="none"/>
          <w:shd w:val="clear"/>
          <w:lang w:val="en-US" w:eastAsia="zh-CN"/>
          <w14:textFill>
            <w14:solidFill>
              <w14:schemeClr w14:val="tx1"/>
            </w14:solidFill>
          </w14:textFill>
        </w:rPr>
        <w:t>六、公告期限</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highlight w:val="none"/>
          <w:shd w:val="clear"/>
          <w:lang w:val="en-US" w:eastAsia="zh-CN"/>
        </w:rPr>
      </w:pPr>
      <w:r>
        <w:rPr>
          <w:rFonts w:hint="eastAsia" w:ascii="仿宋" w:hAnsi="仿宋" w:eastAsia="仿宋" w:cs="仿宋"/>
          <w:i w:val="0"/>
          <w:iCs w:val="0"/>
          <w:caps w:val="0"/>
          <w:spacing w:val="0"/>
          <w:sz w:val="28"/>
          <w:szCs w:val="28"/>
          <w:highlight w:val="none"/>
          <w:shd w:val="clear"/>
          <w:lang w:val="en-US" w:eastAsia="zh-CN"/>
        </w:rPr>
        <w:t>自本公告发布之日起5个工作日。</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7" w:beforeLines="50" w:beforeAutospacing="0" w:after="0" w:afterAutospacing="0" w:line="500" w:lineRule="exact"/>
        <w:ind w:right="0" w:rightChars="0"/>
        <w:jc w:val="both"/>
        <w:textAlignment w:val="auto"/>
        <w:rPr>
          <w:rFonts w:hint="eastAsia" w:ascii="黑体" w:hAnsi="黑体" w:eastAsia="黑体" w:cs="黑体"/>
          <w:b w:val="0"/>
          <w:bCs w:val="0"/>
          <w:i w:val="0"/>
          <w:iCs w:val="0"/>
          <w:caps w:val="0"/>
          <w:color w:val="000000" w:themeColor="text1"/>
          <w:spacing w:val="0"/>
          <w:sz w:val="28"/>
          <w:szCs w:val="28"/>
          <w:shd w:val="clear"/>
          <w:lang w:eastAsia="zh-CN"/>
          <w14:textFill>
            <w14:solidFill>
              <w14:schemeClr w14:val="tx1"/>
            </w14:solidFill>
          </w14:textFill>
        </w:rPr>
      </w:pPr>
      <w:r>
        <w:rPr>
          <w:rFonts w:hint="eastAsia" w:ascii="黑体" w:hAnsi="黑体" w:eastAsia="黑体" w:cs="黑体"/>
          <w:b w:val="0"/>
          <w:bCs w:val="0"/>
          <w:i w:val="0"/>
          <w:iCs w:val="0"/>
          <w:caps w:val="0"/>
          <w:color w:val="000000" w:themeColor="text1"/>
          <w:spacing w:val="0"/>
          <w:sz w:val="28"/>
          <w:szCs w:val="28"/>
          <w:shd w:val="clear"/>
          <w:lang w:val="en-US" w:eastAsia="zh-CN"/>
          <w14:textFill>
            <w14:solidFill>
              <w14:schemeClr w14:val="tx1"/>
            </w14:solidFill>
          </w14:textFill>
        </w:rPr>
        <w:t>七</w:t>
      </w:r>
      <w:r>
        <w:rPr>
          <w:rFonts w:hint="eastAsia" w:ascii="黑体" w:hAnsi="黑体" w:eastAsia="黑体" w:cs="黑体"/>
          <w:b w:val="0"/>
          <w:bCs w:val="0"/>
          <w:i w:val="0"/>
          <w:iCs w:val="0"/>
          <w:caps w:val="0"/>
          <w:color w:val="000000" w:themeColor="text1"/>
          <w:spacing w:val="0"/>
          <w:sz w:val="28"/>
          <w:szCs w:val="28"/>
          <w:shd w:val="clear"/>
          <w:lang w:eastAsia="zh-CN"/>
          <w14:textFill>
            <w14:solidFill>
              <w14:schemeClr w14:val="tx1"/>
            </w14:solidFill>
          </w14:textFill>
        </w:rPr>
        <w:t>、凡对本次采购提出询问，请按以下方式联系</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shd w:val="clear"/>
          <w:lang w:val="en-US" w:eastAsia="zh-CN"/>
        </w:rPr>
      </w:pPr>
      <w:r>
        <w:rPr>
          <w:rFonts w:hint="default" w:ascii="仿宋" w:hAnsi="仿宋" w:eastAsia="仿宋" w:cs="仿宋"/>
          <w:sz w:val="28"/>
          <w:szCs w:val="28"/>
          <w:lang w:val="en-US"/>
        </w:rPr>
        <w:t>招标</w:t>
      </w:r>
      <w:r>
        <w:rPr>
          <w:rFonts w:hint="eastAsia" w:ascii="仿宋" w:hAnsi="仿宋" w:eastAsia="仿宋" w:cs="仿宋"/>
          <w:i w:val="0"/>
          <w:iCs w:val="0"/>
          <w:caps w:val="0"/>
          <w:spacing w:val="0"/>
          <w:sz w:val="28"/>
          <w:szCs w:val="28"/>
          <w:shd w:val="clear"/>
          <w:lang w:val="en-US" w:eastAsia="zh-CN"/>
        </w:rPr>
        <w:t>人信息</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名称：珠海市香洲区第二人民医院</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地址：珠海市香洲区南屏镇南泉路21号</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eastAsia"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联系人：李老师，联系电话：0756-8288723</w:t>
      </w:r>
    </w:p>
    <w:p>
      <w:pPr>
        <w:keepNext w:val="0"/>
        <w:keepLines w:val="0"/>
        <w:pageBreakBefore w:val="0"/>
        <w:widowControl w:val="0"/>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0" w:right="0" w:rightChars="0" w:firstLineChars="0"/>
        <w:jc w:val="both"/>
        <w:textAlignment w:val="auto"/>
        <w:rPr>
          <w:rFonts w:hint="default" w:ascii="仿宋" w:hAnsi="仿宋" w:eastAsia="仿宋" w:cs="仿宋"/>
          <w:i w:val="0"/>
          <w:iCs w:val="0"/>
          <w:caps w:val="0"/>
          <w:spacing w:val="0"/>
          <w:sz w:val="28"/>
          <w:szCs w:val="28"/>
          <w:shd w:val="clear"/>
          <w:lang w:val="en-US" w:eastAsia="zh-CN"/>
        </w:rPr>
      </w:pPr>
      <w:r>
        <w:rPr>
          <w:rFonts w:hint="eastAsia" w:ascii="仿宋" w:hAnsi="仿宋" w:eastAsia="仿宋" w:cs="仿宋"/>
          <w:i w:val="0"/>
          <w:iCs w:val="0"/>
          <w:caps w:val="0"/>
          <w:spacing w:val="0"/>
          <w:sz w:val="28"/>
          <w:szCs w:val="28"/>
          <w:shd w:val="clear"/>
          <w:lang w:val="en-US" w:eastAsia="zh-CN"/>
        </w:rPr>
        <w:t>邮箱：</w:t>
      </w:r>
      <w:r>
        <w:rPr>
          <w:rFonts w:hint="default" w:ascii="Times New Roman" w:hAnsi="Times New Roman" w:eastAsia="仿宋" w:cs="Times New Roman"/>
          <w:i w:val="0"/>
          <w:iCs w:val="0"/>
          <w:caps w:val="0"/>
          <w:spacing w:val="0"/>
          <w:sz w:val="28"/>
          <w:szCs w:val="28"/>
          <w:shd w:val="clear"/>
          <w:lang w:val="en-US" w:eastAsia="zh-CN"/>
        </w:rPr>
        <w:t>xzqdermyyll@zhuhai.gov.cn</w:t>
      </w:r>
    </w:p>
    <w:p>
      <w:pPr>
        <w:keepNext w:val="0"/>
        <w:keepLines w:val="0"/>
        <w:pageBreakBefore w:val="0"/>
        <w:widowControl w:val="0"/>
        <w:kinsoku/>
        <w:wordWrap/>
        <w:overflowPunct/>
        <w:topLinePunct w:val="0"/>
        <w:autoSpaceDE w:val="0"/>
        <w:autoSpaceDN w:val="0"/>
        <w:bidi w:val="0"/>
        <w:adjustRightInd/>
        <w:snapToGrid/>
        <w:spacing w:before="0" w:after="0" w:line="500" w:lineRule="exact"/>
        <w:ind w:left="440" w:leftChars="200" w:firstLineChars="0"/>
        <w:textAlignment w:val="auto"/>
        <w:rPr>
          <w:rFonts w:hint="eastAsia" w:ascii="仿宋" w:hAnsi="仿宋" w:eastAsia="仿宋" w:cs="仿宋"/>
          <w:i w:val="0"/>
          <w:caps w:val="0"/>
          <w:spacing w:val="0"/>
          <w:sz w:val="28"/>
          <w:szCs w:val="28"/>
          <w:shd w:val="clear"/>
          <w:lang w:val="en-US" w:eastAsia="zh-CN"/>
        </w:rPr>
      </w:pPr>
      <w:r>
        <w:rPr>
          <w:rFonts w:hint="eastAsia" w:ascii="仿宋" w:hAnsi="仿宋" w:eastAsia="仿宋" w:cs="仿宋"/>
          <w:i w:val="0"/>
          <w:caps w:val="0"/>
          <w:spacing w:val="0"/>
          <w:sz w:val="28"/>
          <w:szCs w:val="28"/>
          <w:shd w:val="clear"/>
          <w:lang w:val="en-US" w:eastAsia="zh-CN"/>
        </w:rPr>
        <w:t>附件：1.报名表</w:t>
      </w:r>
    </w:p>
    <w:p>
      <w:pPr>
        <w:keepNext w:val="0"/>
        <w:keepLines w:val="0"/>
        <w:pageBreakBefore w:val="0"/>
        <w:kinsoku/>
        <w:wordWrap/>
        <w:overflowPunct/>
        <w:topLinePunct w:val="0"/>
        <w:bidi w:val="0"/>
        <w:adjustRightInd/>
        <w:snapToGrid/>
        <w:spacing w:before="0" w:after="0" w:line="500" w:lineRule="exact"/>
        <w:ind w:left="440" w:leftChars="200" w:firstLine="840" w:firstLineChars="300"/>
        <w:textAlignment w:val="auto"/>
        <w:rPr>
          <w:rFonts w:hint="eastAsia" w:ascii="宋体" w:hAnsi="宋体" w:eastAsia="宋体" w:cs="宋体"/>
          <w:color w:val="auto"/>
          <w:sz w:val="24"/>
          <w:szCs w:val="24"/>
        </w:rPr>
      </w:pPr>
      <w:r>
        <w:rPr>
          <w:rFonts w:hint="eastAsia" w:ascii="仿宋" w:hAnsi="仿宋" w:eastAsia="仿宋" w:cs="仿宋"/>
          <w:i w:val="0"/>
          <w:caps w:val="0"/>
          <w:spacing w:val="0"/>
          <w:sz w:val="28"/>
          <w:szCs w:val="28"/>
          <w:shd w:val="clear"/>
          <w:lang w:val="en-US" w:eastAsia="zh-CN"/>
        </w:rPr>
        <w:t>2.招标文件</w:t>
      </w:r>
    </w:p>
    <w:p>
      <w:pPr>
        <w:pStyle w:val="16"/>
        <w:keepNext w:val="0"/>
        <w:keepLines w:val="0"/>
        <w:pageBreakBefore w:val="0"/>
        <w:widowControl w:val="0"/>
        <w:kinsoku/>
        <w:wordWrap/>
        <w:overflowPunct/>
        <w:topLinePunct w:val="0"/>
        <w:autoSpaceDE w:val="0"/>
        <w:autoSpaceDN w:val="0"/>
        <w:bidi w:val="0"/>
        <w:adjustRightInd/>
        <w:snapToGrid/>
        <w:spacing w:after="0" w:line="579" w:lineRule="exact"/>
        <w:ind w:left="0" w:leftChars="0" w:firstLine="0" w:firstLineChars="0"/>
        <w:textAlignment w:val="auto"/>
        <w:rPr>
          <w:rFonts w:hint="eastAsia" w:ascii="仿宋_GB2312" w:hAnsi="仿宋_GB2312" w:eastAsia="仿宋_GB2312" w:cs="仿宋_GB2312"/>
          <w:i w:val="0"/>
          <w:caps w:val="0"/>
          <w:color w:val="auto"/>
          <w:spacing w:val="0"/>
          <w:sz w:val="28"/>
          <w:szCs w:val="28"/>
          <w:shd w:val="clear" w:fill="FFFFFF"/>
          <w:lang w:eastAsia="zh-CN"/>
        </w:rPr>
        <w:sectPr>
          <w:pgSz w:w="11906" w:h="16838"/>
          <w:pgMar w:top="1434" w:right="1474" w:bottom="1434" w:left="1474" w:header="851" w:footer="992" w:gutter="0"/>
          <w:pgNumType w:fmt="decimal"/>
          <w:cols w:space="425" w:num="1"/>
          <w:docGrid w:type="lines" w:linePitch="312" w:charSpace="0"/>
        </w:sectPr>
      </w:pPr>
    </w:p>
    <w:p>
      <w:pPr>
        <w:spacing w:line="360" w:lineRule="auto"/>
        <w:jc w:val="center"/>
        <w:rPr>
          <w:rFonts w:hint="eastAsia" w:ascii="宋体" w:hAnsi="宋体" w:cs="宋体"/>
          <w:b/>
          <w:kern w:val="28"/>
          <w:sz w:val="32"/>
          <w:szCs w:val="32"/>
          <w:lang w:val="en-US" w:eastAsia="zh-CN"/>
        </w:rPr>
      </w:pPr>
      <w:r>
        <w:rPr>
          <w:rFonts w:hint="eastAsia" w:cs="宋体"/>
          <w:b/>
          <w:kern w:val="28"/>
          <w:sz w:val="32"/>
          <w:szCs w:val="32"/>
          <w:lang w:val="en-US" w:eastAsia="zh-CN"/>
        </w:rPr>
        <w:t>第二部分 用户需求书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黑体" w:hAnsi="黑体" w:eastAsia="黑体" w:cs="黑体"/>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both"/>
        <w:textAlignment w:val="auto"/>
        <w:rPr>
          <w:rFonts w:hint="default" w:ascii="宋体" w:hAnsi="宋体" w:eastAsia="宋体" w:cs="宋体"/>
          <w:b/>
          <w:bCs/>
          <w:sz w:val="21"/>
          <w:szCs w:val="21"/>
          <w:lang w:val="en-US" w:eastAsia="zh-CN"/>
        </w:rPr>
      </w:pPr>
      <w:r>
        <w:rPr>
          <w:rFonts w:hint="eastAsia" w:cs="宋体"/>
          <w:b/>
          <w:bCs/>
          <w:sz w:val="21"/>
          <w:szCs w:val="21"/>
          <w:lang w:val="en-US" w:eastAsia="zh-CN"/>
        </w:rPr>
        <w:t>说明：</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both"/>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1.投标人须对本项目为单位的货物及服务进行整体响应，任何只对采购标的或者服务内容其中一部分内容进行的响应都被视为无效投标。</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both"/>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2.用户需求书中标注“★”号部分为关键技术参数、功能、要求，任何对这些项目的负偏离将被视为未实质性响应招标文件要求而作无效投标处理。投标文件中须按照“★”条款的要求逐条响应（若要求提供其他证明材料，还须提供要求的证明材料），“★”条款技术指标负偏离或者未响应，作无效投标处理。</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both"/>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3.用户需求书中标注“▲”号条款为重要技术参数，投标文件中须按照“▲”条款的要求逐条响应并标注证明文件所在页码（若要求提供其他证明材料，还须提供要求的证明材料），“▲”条款技术指标负偏离或者未响应，对应项将不予以计分。但不作为无效投标条款。</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both"/>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4.投标报价（总价）中不得包含招标文件要求以外的内容，否则，在评标时不予核减。若投标报价有缺漏项的，缺漏项部分的价格视为已包含在投标报价中，中标后不作任何调整。</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both"/>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5.本项目采购标的对应的中小微企业划分标准所属行业为：其他未列明行业。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1.项目名称：珠海市香洲区第二人民医院</w:t>
      </w:r>
      <w:r>
        <w:rPr>
          <w:rFonts w:hint="eastAsia" w:ascii="Times New Roman" w:hAnsi="Times New Roman" w:cs="Times New Roman"/>
          <w:b w:val="0"/>
          <w:bCs w:val="0"/>
          <w:sz w:val="24"/>
          <w:szCs w:val="24"/>
          <w:lang w:val="en-US" w:eastAsia="zh-CN"/>
        </w:rPr>
        <w:t>直饮水机租赁服务采购</w:t>
      </w:r>
      <w:r>
        <w:rPr>
          <w:rFonts w:hint="default" w:ascii="Times New Roman" w:hAnsi="Times New Roman" w:eastAsia="宋体" w:cs="Times New Roman"/>
          <w:b w:val="0"/>
          <w:bCs w:val="0"/>
          <w:sz w:val="24"/>
          <w:szCs w:val="24"/>
          <w:lang w:val="en-US" w:eastAsia="zh-CN"/>
        </w:rPr>
        <w:t>项目</w:t>
      </w:r>
    </w:p>
    <w:p>
      <w:pPr>
        <w:pStyle w:val="27"/>
        <w:spacing w:line="360" w:lineRule="auto"/>
        <w:ind w:firstLine="480" w:firstLineChars="200"/>
        <w:rPr>
          <w:rFonts w:hint="eastAsia" w:ascii="Times New Roman" w:hAnsi="Times New Roman" w:eastAsia="宋体" w:cs="Times New Roman"/>
          <w:b w:val="0"/>
          <w:bCs w:val="0"/>
          <w:sz w:val="24"/>
          <w:szCs w:val="24"/>
          <w:lang w:val="en-US" w:eastAsia="zh-CN" w:bidi="zh-CN"/>
        </w:rPr>
      </w:pPr>
      <w:r>
        <w:rPr>
          <w:rFonts w:hint="default" w:ascii="Times New Roman" w:hAnsi="Times New Roman" w:cs="Times New Roman"/>
          <w:b w:val="0"/>
          <w:bCs w:val="0"/>
          <w:sz w:val="24"/>
          <w:szCs w:val="24"/>
          <w:lang w:val="en-US" w:eastAsia="zh-CN"/>
        </w:rPr>
        <w:t>2.</w:t>
      </w:r>
      <w:r>
        <w:rPr>
          <w:rFonts w:hint="default" w:ascii="Times New Roman" w:hAnsi="Times New Roman" w:eastAsia="宋体" w:cs="Times New Roman"/>
          <w:b w:val="0"/>
          <w:bCs w:val="0"/>
          <w:sz w:val="24"/>
          <w:szCs w:val="24"/>
          <w:lang w:val="en-US" w:eastAsia="zh-CN"/>
        </w:rPr>
        <w:t>服务</w:t>
      </w:r>
      <w:r>
        <w:rPr>
          <w:rFonts w:hint="eastAsia" w:ascii="Times New Roman" w:hAnsi="Times New Roman" w:eastAsia="宋体" w:cs="Times New Roman"/>
          <w:b w:val="0"/>
          <w:bCs w:val="0"/>
          <w:sz w:val="24"/>
          <w:szCs w:val="24"/>
          <w:lang w:val="en-US" w:eastAsia="zh-CN" w:bidi="zh-CN"/>
        </w:rPr>
        <w:t>范围：</w:t>
      </w:r>
      <w:r>
        <w:rPr>
          <w:rFonts w:hint="eastAsia" w:ascii="Times New Roman" w:hAnsi="Times New Roman" w:eastAsia="宋体" w:cs="Times New Roman"/>
          <w:b w:val="0"/>
          <w:bCs w:val="0"/>
          <w:kern w:val="0"/>
          <w:sz w:val="24"/>
          <w:szCs w:val="24"/>
          <w:lang w:val="en-US" w:eastAsia="zh-CN" w:bidi="zh-CN"/>
        </w:rPr>
        <w:t>香</w:t>
      </w:r>
      <w:r>
        <w:rPr>
          <w:rFonts w:hint="eastAsia" w:ascii="Times New Roman" w:hAnsi="Times New Roman" w:eastAsia="宋体" w:cs="Times New Roman"/>
          <w:b w:val="0"/>
          <w:bCs w:val="0"/>
          <w:sz w:val="24"/>
          <w:szCs w:val="24"/>
          <w:lang w:val="en-US" w:eastAsia="zh-CN" w:bidi="zh-CN"/>
        </w:rPr>
        <w:t>洲区第二人民医院门诊楼、住院楼布置直饮水机。</w:t>
      </w:r>
    </w:p>
    <w:p>
      <w:pPr>
        <w:pStyle w:val="27"/>
        <w:spacing w:line="360" w:lineRule="auto"/>
        <w:ind w:firstLine="480" w:firstLineChars="200"/>
        <w:rPr>
          <w:rFonts w:hint="default" w:ascii="Times New Roman" w:hAnsi="Times New Roman" w:eastAsia="宋体" w:cs="Times New Roman"/>
          <w:b w:val="0"/>
          <w:bCs w:val="0"/>
          <w:sz w:val="24"/>
          <w:szCs w:val="24"/>
          <w:lang w:val="en-US" w:eastAsia="zh-CN" w:bidi="zh-CN"/>
        </w:rPr>
      </w:pPr>
      <w:r>
        <w:rPr>
          <w:rFonts w:hint="eastAsia" w:ascii="Times New Roman" w:hAnsi="Times New Roman" w:eastAsia="宋体" w:cs="Times New Roman"/>
          <w:b w:val="0"/>
          <w:bCs w:val="0"/>
          <w:sz w:val="24"/>
          <w:szCs w:val="24"/>
          <w:lang w:val="en-US" w:eastAsia="zh-CN" w:bidi="zh-CN"/>
        </w:rPr>
        <w:t>3.采购预算：19462元</w:t>
      </w:r>
    </w:p>
    <w:p>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Times New Roman" w:hAnsi="Times New Roman" w:cs="Times New Roman"/>
          <w:b w:val="0"/>
          <w:bCs w:val="0"/>
          <w:i w:val="0"/>
          <w:iCs w:val="0"/>
          <w:caps w:val="0"/>
          <w:color w:val="000000"/>
          <w:spacing w:val="0"/>
          <w:sz w:val="24"/>
          <w:szCs w:val="24"/>
          <w:lang w:val="en-US" w:eastAsia="zh-CN"/>
        </w:rPr>
      </w:pPr>
      <w:r>
        <w:rPr>
          <w:rFonts w:hint="eastAsia" w:ascii="Times New Roman" w:hAnsi="Times New Roman" w:cs="Times New Roman"/>
          <w:b w:val="0"/>
          <w:bCs w:val="0"/>
          <w:sz w:val="24"/>
          <w:szCs w:val="24"/>
          <w:lang w:val="en-US" w:eastAsia="zh-CN"/>
        </w:rPr>
        <w:t>4</w:t>
      </w:r>
      <w:r>
        <w:rPr>
          <w:rFonts w:hint="default" w:ascii="Times New Roman" w:hAnsi="Times New Roman" w:eastAsia="宋体" w:cs="Times New Roman"/>
          <w:b w:val="0"/>
          <w:bCs w:val="0"/>
          <w:sz w:val="24"/>
          <w:szCs w:val="24"/>
          <w:lang w:val="en-US" w:eastAsia="zh-CN"/>
        </w:rPr>
        <w:t>.服务期限：</w:t>
      </w:r>
      <w:r>
        <w:rPr>
          <w:rFonts w:hint="eastAsia" w:ascii="Times New Roman" w:hAnsi="Times New Roman" w:cs="Times New Roman"/>
          <w:b w:val="0"/>
          <w:bCs w:val="0"/>
          <w:i w:val="0"/>
          <w:iCs w:val="0"/>
          <w:caps w:val="0"/>
          <w:color w:val="000000"/>
          <w:spacing w:val="0"/>
          <w:sz w:val="24"/>
          <w:szCs w:val="24"/>
          <w:lang w:val="en-US" w:eastAsia="zh-CN"/>
        </w:rPr>
        <w:t>1</w:t>
      </w:r>
      <w:r>
        <w:rPr>
          <w:rFonts w:hint="default" w:ascii="Times New Roman" w:hAnsi="Times New Roman" w:eastAsia="宋体" w:cs="Times New Roman"/>
          <w:b w:val="0"/>
          <w:bCs w:val="0"/>
          <w:i w:val="0"/>
          <w:iCs w:val="0"/>
          <w:caps w:val="0"/>
          <w:color w:val="000000"/>
          <w:spacing w:val="0"/>
          <w:sz w:val="24"/>
          <w:szCs w:val="24"/>
          <w:lang w:val="en-US" w:eastAsia="zh-CN"/>
        </w:rPr>
        <w:t>年</w:t>
      </w:r>
      <w:r>
        <w:rPr>
          <w:rFonts w:hint="eastAsia" w:ascii="Times New Roman" w:hAnsi="Times New Roman" w:cs="Times New Roman"/>
          <w:b w:val="0"/>
          <w:bCs w:val="0"/>
          <w:i w:val="0"/>
          <w:iCs w:val="0"/>
          <w:caps w:val="0"/>
          <w:color w:val="000000"/>
          <w:spacing w:val="0"/>
          <w:sz w:val="24"/>
          <w:szCs w:val="24"/>
          <w:lang w:val="en-US" w:eastAsia="zh-CN"/>
        </w:rPr>
        <w:t>（2026年10月1日至2027年9月30日），在合同履约期间，若因采购人实施改扩建项目导致直饮水机租赁服务采购事项进行调整，采购人有权提前1个月书面通知中标供应商，中标供应商应予以配合并完成相关交接工作，</w:t>
      </w:r>
      <w:r>
        <w:rPr>
          <w:rFonts w:hint="eastAsia" w:ascii="Times New Roman" w:hAnsi="Times New Roman" w:eastAsia="宋体" w:cs="Times New Roman"/>
          <w:color w:val="000000"/>
          <w:spacing w:val="0"/>
          <w:kern w:val="0"/>
          <w:sz w:val="24"/>
          <w:szCs w:val="24"/>
          <w:lang w:val="en-US" w:eastAsia="zh-CN" w:bidi="ar"/>
        </w:rPr>
        <w:t>以实际服务期限据实结算</w:t>
      </w:r>
      <w:r>
        <w:rPr>
          <w:rFonts w:hint="eastAsia" w:ascii="Times New Roman" w:hAnsi="Times New Roman" w:cs="Times New Roman"/>
          <w:b w:val="0"/>
          <w:bCs w:val="0"/>
          <w:i w:val="0"/>
          <w:iCs w:val="0"/>
          <w:caps w:val="0"/>
          <w:color w:val="000000"/>
          <w:spacing w:val="0"/>
          <w:sz w:val="24"/>
          <w:szCs w:val="24"/>
          <w:lang w:val="en-US" w:eastAsia="zh-CN"/>
        </w:rPr>
        <w:t>。因上述调整导致合同无法继续履行的，双方可协商解除合同，采购人不承担违约责任。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二、直饮水机具体位置如下</w:t>
      </w:r>
    </w:p>
    <w:tbl>
      <w:tblPr>
        <w:tblStyle w:val="19"/>
        <w:tblpPr w:leftFromText="180" w:rightFromText="180" w:vertAnchor="text" w:horzAnchor="page" w:tblpX="1577" w:tblpY="65"/>
        <w:tblOverlap w:val="never"/>
        <w:tblW w:w="4996" w:type="pct"/>
        <w:tblInd w:w="0" w:type="dxa"/>
        <w:tblLayout w:type="autofit"/>
        <w:tblCellMar>
          <w:top w:w="0" w:type="dxa"/>
          <w:left w:w="108" w:type="dxa"/>
          <w:bottom w:w="0" w:type="dxa"/>
          <w:right w:w="108" w:type="dxa"/>
        </w:tblCellMar>
      </w:tblPr>
      <w:tblGrid>
        <w:gridCol w:w="2233"/>
        <w:gridCol w:w="3514"/>
        <w:gridCol w:w="3420"/>
      </w:tblGrid>
      <w:tr>
        <w:tblPrEx>
          <w:tblCellMar>
            <w:top w:w="0" w:type="dxa"/>
            <w:left w:w="108" w:type="dxa"/>
            <w:bottom w:w="0" w:type="dxa"/>
            <w:right w:w="108" w:type="dxa"/>
          </w:tblCellMar>
        </w:tblPrEx>
        <w:trPr>
          <w:trHeight w:val="490" w:hRule="atLeast"/>
        </w:trPr>
        <w:tc>
          <w:tcPr>
            <w:tcW w:w="1218"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序号</w:t>
            </w:r>
          </w:p>
        </w:tc>
        <w:tc>
          <w:tcPr>
            <w:tcW w:w="1916" w:type="pc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color w:val="000000"/>
                <w:kern w:val="0"/>
                <w:sz w:val="21"/>
                <w:szCs w:val="21"/>
                <w:u w:val="none"/>
                <w:lang w:val="en-US" w:eastAsia="zh-CN" w:bidi="ar"/>
              </w:rPr>
              <w:t>机器类型</w:t>
            </w:r>
          </w:p>
        </w:tc>
        <w:tc>
          <w:tcPr>
            <w:tcW w:w="18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机器位置</w:t>
            </w:r>
          </w:p>
        </w:tc>
      </w:tr>
      <w:tr>
        <w:trPr>
          <w:trHeight w:val="327" w:hRule="atLeast"/>
        </w:trPr>
        <w:tc>
          <w:tcPr>
            <w:tcW w:w="1218" w:type="pct"/>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91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186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急诊输液区</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91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186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1楼大厅询诊台</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91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186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2楼门诊超声科</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91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186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3楼中医康复科</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91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186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3楼中医康复科办公室</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91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186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3楼医护办公室</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91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1865" w:type="pc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3楼电梯后面</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门诊4楼体检科</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住院部4楼</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住院部4楼</w:t>
            </w:r>
          </w:p>
        </w:tc>
      </w:tr>
      <w:tr>
        <w:trPr>
          <w:trHeight w:val="327"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住院部5楼 </w:t>
            </w:r>
          </w:p>
        </w:tc>
      </w:tr>
      <w:tr>
        <w:tblPrEx>
          <w:tblCellMar>
            <w:top w:w="0" w:type="dxa"/>
            <w:left w:w="108" w:type="dxa"/>
            <w:bottom w:w="0" w:type="dxa"/>
            <w:right w:w="108" w:type="dxa"/>
          </w:tblCellMar>
        </w:tblPrEx>
        <w:trPr>
          <w:trHeight w:val="302"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住院部5楼 </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住院部6楼</w:t>
            </w:r>
          </w:p>
        </w:tc>
      </w:tr>
      <w:tr>
        <w:trPr>
          <w:trHeight w:val="327"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住院部6楼</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住院部7楼</w:t>
            </w:r>
          </w:p>
        </w:tc>
      </w:tr>
      <w:tr>
        <w:tblPrEx>
          <w:tblCellMar>
            <w:top w:w="0" w:type="dxa"/>
            <w:left w:w="108" w:type="dxa"/>
            <w:bottom w:w="0" w:type="dxa"/>
            <w:right w:w="108" w:type="dxa"/>
          </w:tblCellMar>
        </w:tblPrEx>
        <w:trPr>
          <w:trHeight w:val="327" w:hRule="atLeast"/>
        </w:trPr>
        <w:tc>
          <w:tcPr>
            <w:tcW w:w="1218" w:type="pct"/>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91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186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住院部7楼</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cs="宋体"/>
          <w:b/>
          <w:bCs/>
          <w:sz w:val="24"/>
          <w:szCs w:val="24"/>
          <w:lang w:val="en-US" w:eastAsia="zh-CN"/>
        </w:rPr>
      </w:pPr>
      <w:r>
        <w:rPr>
          <w:rFonts w:hint="eastAsia" w:cs="宋体"/>
          <w:b/>
          <w:bCs/>
          <w:sz w:val="24"/>
          <w:szCs w:val="24"/>
          <w:lang w:val="en-US" w:eastAsia="zh-CN"/>
        </w:rPr>
        <w:t>三、服务内容及技术要求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cs="宋体"/>
          <w:b/>
          <w:bCs/>
          <w:sz w:val="24"/>
          <w:szCs w:val="24"/>
          <w:lang w:val="en-US" w:eastAsia="zh-CN"/>
        </w:rPr>
      </w:pPr>
      <w:r>
        <w:rPr>
          <w:rFonts w:hint="eastAsia" w:cs="宋体"/>
          <w:b/>
          <w:bCs/>
          <w:sz w:val="24"/>
          <w:szCs w:val="24"/>
          <w:lang w:val="en-US" w:eastAsia="zh-CN"/>
        </w:rPr>
        <w:t>（一）服务内容</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1、供应商所提供设备应是原厂原装的产品，并符合国家标准、行业标准以及该产品的出厂标准。所有区域均使用同一品牌产品</w:t>
      </w:r>
      <w:r>
        <w:rPr>
          <w:rFonts w:hint="eastAsia" w:cs="宋体"/>
          <w:i w:val="0"/>
          <w:iCs w:val="0"/>
          <w:caps w:val="0"/>
          <w:spacing w:val="0"/>
          <w:kern w:val="2"/>
          <w:sz w:val="24"/>
          <w:szCs w:val="24"/>
          <w:highlight w:val="none"/>
          <w:shd w:val="clear"/>
          <w:vertAlign w:val="baseline"/>
          <w:lang w:val="en-US" w:eastAsia="zh-CN" w:bidi="ar"/>
        </w:rPr>
        <w:t>。</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2、供应商所提供的设备必须使用环保材料并符合国家环保要求及标准。</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3、设备外观清洁，标记编号以及盘面显示等字体清晰，明确。</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4、对于影响设备正常工作的必要组成部分，无论在技术规范中指出与否，供应商都应提供并在响应文件中明确列出。</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5、供应商应负责所</w:t>
      </w:r>
      <w:r>
        <w:rPr>
          <w:rFonts w:hint="eastAsia" w:cs="宋体"/>
          <w:i w:val="0"/>
          <w:iCs w:val="0"/>
          <w:caps w:val="0"/>
          <w:spacing w:val="0"/>
          <w:kern w:val="2"/>
          <w:sz w:val="24"/>
          <w:szCs w:val="24"/>
          <w:highlight w:val="none"/>
          <w:shd w:val="clear"/>
          <w:vertAlign w:val="baseline"/>
          <w:lang w:val="en-US" w:eastAsia="zh-CN" w:bidi="ar"/>
        </w:rPr>
        <w:t>提供</w:t>
      </w:r>
      <w:r>
        <w:rPr>
          <w:rFonts w:hint="eastAsia" w:ascii="宋体" w:hAnsi="宋体" w:eastAsia="宋体" w:cs="宋体"/>
          <w:i w:val="0"/>
          <w:iCs w:val="0"/>
          <w:caps w:val="0"/>
          <w:spacing w:val="0"/>
          <w:kern w:val="2"/>
          <w:sz w:val="24"/>
          <w:szCs w:val="24"/>
          <w:highlight w:val="none"/>
          <w:shd w:val="clear"/>
          <w:vertAlign w:val="baseline"/>
          <w:lang w:val="en-US" w:eastAsia="zh-CN" w:bidi="ar"/>
        </w:rPr>
        <w:t>设备的维修及保养服务。</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★6、</w:t>
      </w:r>
      <w:r>
        <w:rPr>
          <w:rFonts w:hint="eastAsia" w:cs="宋体"/>
          <w:i w:val="0"/>
          <w:iCs w:val="0"/>
          <w:caps w:val="0"/>
          <w:spacing w:val="0"/>
          <w:kern w:val="2"/>
          <w:sz w:val="24"/>
          <w:szCs w:val="24"/>
          <w:highlight w:val="none"/>
          <w:shd w:val="clear"/>
          <w:vertAlign w:val="baseline"/>
          <w:lang w:val="en-US" w:eastAsia="zh-CN" w:bidi="ar"/>
        </w:rPr>
        <w:t>采购人</w:t>
      </w:r>
      <w:r>
        <w:rPr>
          <w:rFonts w:hint="eastAsia" w:ascii="宋体" w:hAnsi="宋体" w:eastAsia="宋体" w:cs="宋体"/>
          <w:i w:val="0"/>
          <w:iCs w:val="0"/>
          <w:caps w:val="0"/>
          <w:spacing w:val="0"/>
          <w:kern w:val="2"/>
          <w:sz w:val="24"/>
          <w:szCs w:val="24"/>
          <w:highlight w:val="none"/>
          <w:shd w:val="clear"/>
          <w:vertAlign w:val="baseline"/>
          <w:lang w:val="en-US" w:eastAsia="zh-CN" w:bidi="ar"/>
        </w:rPr>
        <w:t>在使用时发现供应商所投产品的功能不能满足</w:t>
      </w:r>
      <w:r>
        <w:rPr>
          <w:rFonts w:hint="eastAsia" w:cs="宋体"/>
          <w:i w:val="0"/>
          <w:iCs w:val="0"/>
          <w:caps w:val="0"/>
          <w:spacing w:val="0"/>
          <w:kern w:val="2"/>
          <w:sz w:val="24"/>
          <w:szCs w:val="24"/>
          <w:highlight w:val="none"/>
          <w:shd w:val="clear"/>
          <w:vertAlign w:val="baseline"/>
          <w:lang w:val="en-US" w:eastAsia="zh-CN" w:bidi="ar"/>
        </w:rPr>
        <w:t>采购人</w:t>
      </w:r>
      <w:r>
        <w:rPr>
          <w:rFonts w:hint="eastAsia" w:ascii="宋体" w:hAnsi="宋体" w:eastAsia="宋体" w:cs="宋体"/>
          <w:i w:val="0"/>
          <w:iCs w:val="0"/>
          <w:caps w:val="0"/>
          <w:spacing w:val="0"/>
          <w:kern w:val="2"/>
          <w:sz w:val="24"/>
          <w:szCs w:val="24"/>
          <w:highlight w:val="none"/>
          <w:shd w:val="clear"/>
          <w:vertAlign w:val="baseline"/>
          <w:lang w:val="en-US" w:eastAsia="zh-CN" w:bidi="ar"/>
        </w:rPr>
        <w:t>使用需求，供应商必须无条件更换符合要求的产品，且不得增加任何费用。如因水质不达标造成饮用者身体不适，供应商需承担全部责任。（投标文件中须提供承诺函并加盖投标人公章，格式自拟，内容应当涵盖本项所有内容）</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★7、中标人每年</w:t>
      </w:r>
      <w:r>
        <w:rPr>
          <w:rFonts w:hint="eastAsia" w:cs="宋体"/>
          <w:i w:val="0"/>
          <w:iCs w:val="0"/>
          <w:caps w:val="0"/>
          <w:spacing w:val="0"/>
          <w:kern w:val="2"/>
          <w:sz w:val="24"/>
          <w:szCs w:val="24"/>
          <w:highlight w:val="none"/>
          <w:shd w:val="clear"/>
          <w:vertAlign w:val="baseline"/>
          <w:lang w:val="en-US" w:eastAsia="zh-CN" w:bidi="ar"/>
        </w:rPr>
        <w:t>应每年按照采购人要求</w:t>
      </w:r>
      <w:r>
        <w:rPr>
          <w:rFonts w:hint="eastAsia" w:ascii="宋体" w:hAnsi="宋体" w:eastAsia="宋体" w:cs="宋体"/>
          <w:i w:val="0"/>
          <w:iCs w:val="0"/>
          <w:caps w:val="0"/>
          <w:spacing w:val="0"/>
          <w:kern w:val="2"/>
          <w:sz w:val="24"/>
          <w:szCs w:val="24"/>
          <w:highlight w:val="none"/>
          <w:shd w:val="clear"/>
          <w:vertAlign w:val="baseline"/>
          <w:lang w:val="en-US" w:eastAsia="zh-CN" w:bidi="ar"/>
        </w:rPr>
        <w:t>现场随机取样</w:t>
      </w:r>
      <w:r>
        <w:rPr>
          <w:rFonts w:hint="eastAsia" w:cs="宋体"/>
          <w:i w:val="0"/>
          <w:iCs w:val="0"/>
          <w:caps w:val="0"/>
          <w:spacing w:val="0"/>
          <w:kern w:val="2"/>
          <w:sz w:val="24"/>
          <w:szCs w:val="24"/>
          <w:highlight w:val="none"/>
          <w:shd w:val="clear"/>
          <w:vertAlign w:val="baseline"/>
          <w:lang w:val="en-US" w:eastAsia="zh-CN" w:bidi="ar"/>
        </w:rPr>
        <w:t>至少送检</w:t>
      </w:r>
      <w:r>
        <w:rPr>
          <w:rFonts w:hint="eastAsia" w:ascii="宋体" w:hAnsi="宋体" w:eastAsia="宋体" w:cs="宋体"/>
          <w:i w:val="0"/>
          <w:iCs w:val="0"/>
          <w:caps w:val="0"/>
          <w:spacing w:val="0"/>
          <w:kern w:val="2"/>
          <w:sz w:val="24"/>
          <w:szCs w:val="24"/>
          <w:highlight w:val="none"/>
          <w:shd w:val="clear"/>
          <w:vertAlign w:val="baseline"/>
          <w:lang w:val="en-US" w:eastAsia="zh-CN" w:bidi="ar"/>
        </w:rPr>
        <w:t>1次，随机抽样机器由采购人指定</w:t>
      </w:r>
      <w:r>
        <w:rPr>
          <w:rFonts w:hint="eastAsia" w:cs="宋体"/>
          <w:i w:val="0"/>
          <w:iCs w:val="0"/>
          <w:caps w:val="0"/>
          <w:spacing w:val="0"/>
          <w:kern w:val="2"/>
          <w:sz w:val="24"/>
          <w:szCs w:val="24"/>
          <w:highlight w:val="none"/>
          <w:shd w:val="clear"/>
          <w:vertAlign w:val="baseline"/>
          <w:lang w:val="en-US" w:eastAsia="zh-CN" w:bidi="ar"/>
        </w:rPr>
        <w:t>，并</w:t>
      </w:r>
      <w:r>
        <w:rPr>
          <w:rFonts w:hint="eastAsia" w:ascii="宋体" w:hAnsi="宋体" w:eastAsia="宋体" w:cs="宋体"/>
          <w:i w:val="0"/>
          <w:iCs w:val="0"/>
          <w:caps w:val="0"/>
          <w:spacing w:val="0"/>
          <w:kern w:val="2"/>
          <w:sz w:val="24"/>
          <w:szCs w:val="24"/>
          <w:highlight w:val="none"/>
          <w:shd w:val="clear"/>
          <w:vertAlign w:val="baseline"/>
          <w:lang w:val="en-US" w:eastAsia="zh-CN" w:bidi="ar"/>
        </w:rPr>
        <w:t>提供由国家认可的第三方检测机构出具的合格检验报告</w:t>
      </w:r>
      <w:r>
        <w:rPr>
          <w:rFonts w:hint="eastAsia" w:cs="宋体"/>
          <w:i w:val="0"/>
          <w:iCs w:val="0"/>
          <w:caps w:val="0"/>
          <w:spacing w:val="0"/>
          <w:kern w:val="2"/>
          <w:sz w:val="24"/>
          <w:szCs w:val="24"/>
          <w:highlight w:val="none"/>
          <w:shd w:val="clear"/>
          <w:vertAlign w:val="baseline"/>
          <w:lang w:val="en-US" w:eastAsia="zh-CN" w:bidi="ar"/>
        </w:rPr>
        <w:t>。（投标文件中须提供承诺函并加盖投标人公章，格式自拟，内容应当涵盖本项所有内容）</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default" w:ascii="宋体" w:hAnsi="宋体" w:eastAsia="宋体" w:cs="宋体"/>
          <w:i w:val="0"/>
          <w:iCs w:val="0"/>
          <w:caps w:val="0"/>
          <w:spacing w:val="0"/>
          <w:kern w:val="2"/>
          <w:sz w:val="24"/>
          <w:szCs w:val="24"/>
          <w:highlight w:val="none"/>
          <w:shd w:val="clear"/>
          <w:vertAlign w:val="baseline"/>
          <w:lang w:val="en-US" w:eastAsia="zh-CN" w:bidi="ar"/>
        </w:rPr>
        <w:t>▲</w:t>
      </w:r>
      <w:r>
        <w:rPr>
          <w:rFonts w:hint="eastAsia" w:cs="宋体"/>
          <w:i w:val="0"/>
          <w:iCs w:val="0"/>
          <w:caps w:val="0"/>
          <w:spacing w:val="0"/>
          <w:kern w:val="2"/>
          <w:sz w:val="24"/>
          <w:szCs w:val="24"/>
          <w:highlight w:val="none"/>
          <w:shd w:val="clear"/>
          <w:vertAlign w:val="baseline"/>
          <w:lang w:val="en-US" w:eastAsia="zh-CN" w:bidi="ar"/>
        </w:rPr>
        <w:t>8</w:t>
      </w:r>
      <w:r>
        <w:rPr>
          <w:rFonts w:hint="eastAsia" w:ascii="宋体" w:hAnsi="宋体" w:eastAsia="宋体" w:cs="宋体"/>
          <w:i w:val="0"/>
          <w:iCs w:val="0"/>
          <w:caps w:val="0"/>
          <w:spacing w:val="0"/>
          <w:kern w:val="2"/>
          <w:sz w:val="24"/>
          <w:szCs w:val="24"/>
          <w:highlight w:val="none"/>
          <w:shd w:val="clear"/>
          <w:vertAlign w:val="baseline"/>
          <w:lang w:val="en-US" w:eastAsia="zh-CN" w:bidi="ar"/>
        </w:rPr>
        <w:t>、中标人提供365*24小时服务，若设备发生故障，报修后售后人员应在2小时内响应，在4小时内免费上门解决故障，8小时内仍不能正常使用，免费提供全新备用机器更换。（投标文件中须提供承诺函并加盖投标人公章，格式自拟，内容应当涵盖本项所有内容）</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default" w:ascii="宋体" w:hAnsi="宋体" w:eastAsia="宋体" w:cs="宋体"/>
          <w:i w:val="0"/>
          <w:iCs w:val="0"/>
          <w:caps w:val="0"/>
          <w:spacing w:val="0"/>
          <w:kern w:val="2"/>
          <w:sz w:val="24"/>
          <w:szCs w:val="24"/>
          <w:highlight w:val="none"/>
          <w:shd w:val="clear"/>
          <w:vertAlign w:val="baseline"/>
          <w:lang w:val="en-US" w:eastAsia="zh-CN" w:bidi="ar"/>
        </w:rPr>
        <w:t>▲</w:t>
      </w:r>
      <w:r>
        <w:rPr>
          <w:rFonts w:hint="eastAsia" w:cs="宋体"/>
          <w:i w:val="0"/>
          <w:iCs w:val="0"/>
          <w:caps w:val="0"/>
          <w:spacing w:val="0"/>
          <w:kern w:val="2"/>
          <w:sz w:val="24"/>
          <w:szCs w:val="24"/>
          <w:highlight w:val="none"/>
          <w:shd w:val="clear"/>
          <w:vertAlign w:val="baseline"/>
          <w:lang w:val="en-US" w:eastAsia="zh-CN" w:bidi="ar"/>
        </w:rPr>
        <w:t>9</w:t>
      </w:r>
      <w:r>
        <w:rPr>
          <w:rFonts w:hint="eastAsia" w:ascii="宋体" w:hAnsi="宋体" w:eastAsia="宋体" w:cs="宋体"/>
          <w:i w:val="0"/>
          <w:iCs w:val="0"/>
          <w:caps w:val="0"/>
          <w:spacing w:val="0"/>
          <w:kern w:val="2"/>
          <w:sz w:val="24"/>
          <w:szCs w:val="24"/>
          <w:highlight w:val="none"/>
          <w:shd w:val="clear"/>
          <w:vertAlign w:val="baseline"/>
          <w:lang w:val="en-US" w:eastAsia="zh-CN" w:bidi="ar"/>
        </w:rPr>
        <w:t>、中标人设备维护检修：设置专人管理。应提供专用水质检测设备，至少每月一次上门对全部饮水机进行巡检，每3</w:t>
      </w:r>
      <w:r>
        <w:rPr>
          <w:rFonts w:hint="eastAsia" w:cs="宋体"/>
          <w:i w:val="0"/>
          <w:iCs w:val="0"/>
          <w:caps w:val="0"/>
          <w:spacing w:val="0"/>
          <w:kern w:val="2"/>
          <w:sz w:val="24"/>
          <w:szCs w:val="24"/>
          <w:highlight w:val="none"/>
          <w:shd w:val="clear"/>
          <w:vertAlign w:val="baseline"/>
          <w:lang w:val="en-US" w:eastAsia="zh-CN" w:bidi="ar"/>
        </w:rPr>
        <w:t>个</w:t>
      </w:r>
      <w:r>
        <w:rPr>
          <w:rFonts w:hint="eastAsia" w:ascii="宋体" w:hAnsi="宋体" w:eastAsia="宋体" w:cs="宋体"/>
          <w:i w:val="0"/>
          <w:iCs w:val="0"/>
          <w:caps w:val="0"/>
          <w:spacing w:val="0"/>
          <w:kern w:val="2"/>
          <w:sz w:val="24"/>
          <w:szCs w:val="24"/>
          <w:highlight w:val="none"/>
          <w:shd w:val="clear"/>
          <w:vertAlign w:val="baseline"/>
          <w:lang w:val="en-US" w:eastAsia="zh-CN" w:bidi="ar"/>
        </w:rPr>
        <w:t>月对全部饮水机一次TDS水质检测</w:t>
      </w:r>
      <w:r>
        <w:rPr>
          <w:rFonts w:hint="eastAsia" w:cs="宋体"/>
          <w:i w:val="0"/>
          <w:iCs w:val="0"/>
          <w:caps w:val="0"/>
          <w:spacing w:val="0"/>
          <w:kern w:val="2"/>
          <w:sz w:val="24"/>
          <w:szCs w:val="24"/>
          <w:highlight w:val="none"/>
          <w:shd w:val="clear"/>
          <w:vertAlign w:val="baseline"/>
          <w:lang w:val="en-US" w:eastAsia="zh-CN" w:bidi="ar"/>
        </w:rPr>
        <w:t>并做好记录</w:t>
      </w:r>
      <w:r>
        <w:rPr>
          <w:rFonts w:hint="eastAsia" w:ascii="宋体" w:hAnsi="宋体" w:eastAsia="宋体" w:cs="宋体"/>
          <w:i w:val="0"/>
          <w:iCs w:val="0"/>
          <w:caps w:val="0"/>
          <w:spacing w:val="0"/>
          <w:kern w:val="2"/>
          <w:sz w:val="24"/>
          <w:szCs w:val="24"/>
          <w:highlight w:val="none"/>
          <w:shd w:val="clear"/>
          <w:vertAlign w:val="baseline"/>
          <w:lang w:val="en-US" w:eastAsia="zh-CN" w:bidi="ar"/>
        </w:rPr>
        <w:t>，每3</w:t>
      </w:r>
      <w:r>
        <w:rPr>
          <w:rFonts w:hint="eastAsia" w:cs="宋体"/>
          <w:i w:val="0"/>
          <w:iCs w:val="0"/>
          <w:caps w:val="0"/>
          <w:spacing w:val="0"/>
          <w:kern w:val="2"/>
          <w:sz w:val="24"/>
          <w:szCs w:val="24"/>
          <w:highlight w:val="none"/>
          <w:shd w:val="clear"/>
          <w:vertAlign w:val="baseline"/>
          <w:lang w:val="en-US" w:eastAsia="zh-CN" w:bidi="ar"/>
        </w:rPr>
        <w:t>个</w:t>
      </w:r>
      <w:r>
        <w:rPr>
          <w:rFonts w:hint="eastAsia" w:ascii="宋体" w:hAnsi="宋体" w:eastAsia="宋体" w:cs="宋体"/>
          <w:i w:val="0"/>
          <w:iCs w:val="0"/>
          <w:caps w:val="0"/>
          <w:spacing w:val="0"/>
          <w:kern w:val="2"/>
          <w:sz w:val="24"/>
          <w:szCs w:val="24"/>
          <w:highlight w:val="none"/>
          <w:shd w:val="clear"/>
          <w:vertAlign w:val="baseline"/>
          <w:lang w:val="en-US" w:eastAsia="zh-CN" w:bidi="ar"/>
        </w:rPr>
        <w:t>月一次上门净水器定期外部清洁，确保用户饮水安全，若设备出现损坏，污损或者无法维修，24小时内免费提供全新设备继续使用。（投标文件中须提供承诺函并加盖投标人公章，格式自拟，内容应当涵盖本项所有内容）</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▲1</w:t>
      </w:r>
      <w:r>
        <w:rPr>
          <w:rFonts w:hint="eastAsia" w:cs="宋体"/>
          <w:i w:val="0"/>
          <w:iCs w:val="0"/>
          <w:caps w:val="0"/>
          <w:spacing w:val="0"/>
          <w:kern w:val="2"/>
          <w:sz w:val="24"/>
          <w:szCs w:val="24"/>
          <w:highlight w:val="none"/>
          <w:shd w:val="clear"/>
          <w:vertAlign w:val="baseline"/>
          <w:lang w:val="en-US" w:eastAsia="zh-CN" w:bidi="ar"/>
        </w:rPr>
        <w:t>0</w:t>
      </w:r>
      <w:r>
        <w:rPr>
          <w:rFonts w:hint="eastAsia" w:ascii="宋体" w:hAnsi="宋体" w:eastAsia="宋体" w:cs="宋体"/>
          <w:i w:val="0"/>
          <w:iCs w:val="0"/>
          <w:caps w:val="0"/>
          <w:spacing w:val="0"/>
          <w:kern w:val="2"/>
          <w:sz w:val="24"/>
          <w:szCs w:val="24"/>
          <w:highlight w:val="none"/>
          <w:shd w:val="clear"/>
          <w:vertAlign w:val="baseline"/>
          <w:lang w:val="en-US" w:eastAsia="zh-CN" w:bidi="ar"/>
        </w:rPr>
        <w:t>、中标人</w:t>
      </w:r>
      <w:r>
        <w:rPr>
          <w:rFonts w:hint="eastAsia" w:cs="宋体"/>
          <w:i w:val="0"/>
          <w:iCs w:val="0"/>
          <w:caps w:val="0"/>
          <w:spacing w:val="0"/>
          <w:kern w:val="2"/>
          <w:sz w:val="24"/>
          <w:szCs w:val="24"/>
          <w:highlight w:val="none"/>
          <w:shd w:val="clear"/>
          <w:vertAlign w:val="baseline"/>
          <w:lang w:val="en-US" w:eastAsia="zh-CN" w:bidi="ar"/>
        </w:rPr>
        <w:t>负责</w:t>
      </w:r>
      <w:r>
        <w:rPr>
          <w:rFonts w:hint="eastAsia" w:ascii="宋体" w:hAnsi="宋体" w:eastAsia="宋体" w:cs="宋体"/>
          <w:i w:val="0"/>
          <w:iCs w:val="0"/>
          <w:caps w:val="0"/>
          <w:spacing w:val="0"/>
          <w:kern w:val="2"/>
          <w:sz w:val="24"/>
          <w:szCs w:val="24"/>
          <w:highlight w:val="none"/>
          <w:shd w:val="clear"/>
          <w:vertAlign w:val="baseline"/>
          <w:lang w:val="en-US" w:eastAsia="zh-CN" w:bidi="ar"/>
        </w:rPr>
        <w:t>设备滤芯更换：根据用户实际用水情况，滤芯使用寿命到期前15 天</w:t>
      </w:r>
      <w:r>
        <w:rPr>
          <w:rFonts w:hint="eastAsia" w:cs="宋体"/>
          <w:i w:val="0"/>
          <w:iCs w:val="0"/>
          <w:caps w:val="0"/>
          <w:spacing w:val="0"/>
          <w:kern w:val="2"/>
          <w:sz w:val="24"/>
          <w:szCs w:val="24"/>
          <w:highlight w:val="none"/>
          <w:shd w:val="clear"/>
          <w:vertAlign w:val="baseline"/>
          <w:lang w:val="en-US" w:eastAsia="zh-CN" w:bidi="ar"/>
        </w:rPr>
        <w:t>需</w:t>
      </w:r>
      <w:r>
        <w:rPr>
          <w:rFonts w:hint="eastAsia" w:ascii="宋体" w:hAnsi="宋体" w:eastAsia="宋体" w:cs="宋体"/>
          <w:i w:val="0"/>
          <w:iCs w:val="0"/>
          <w:caps w:val="0"/>
          <w:spacing w:val="0"/>
          <w:kern w:val="2"/>
          <w:sz w:val="24"/>
          <w:szCs w:val="24"/>
          <w:highlight w:val="none"/>
          <w:shd w:val="clear"/>
          <w:vertAlign w:val="baseline"/>
          <w:lang w:val="en-US" w:eastAsia="zh-CN" w:bidi="ar"/>
        </w:rPr>
        <w:t>更换滤芯，确保用户饮水安全。（投标文件中须提供承诺函并加盖投标人公章，格式自拟，内容应当涵盖本项所有内容）</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11、中标人每台机器免费提供明显标志的温馨安全提示标识。</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12、如因中标人设备导致的安全事件，由投标人承担一切责任。</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eastAsia"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▲13、供应商</w:t>
      </w:r>
      <w:r>
        <w:rPr>
          <w:rFonts w:hint="eastAsia" w:ascii="宋体" w:hAnsi="宋体" w:eastAsia="宋体" w:cs="宋体"/>
          <w:i w:val="0"/>
          <w:iCs w:val="0"/>
          <w:caps w:val="0"/>
          <w:spacing w:val="0"/>
          <w:kern w:val="2"/>
          <w:sz w:val="24"/>
          <w:szCs w:val="24"/>
          <w:highlight w:val="none"/>
          <w:shd w:val="clear"/>
          <w:vertAlign w:val="baseline"/>
          <w:lang w:val="en-US" w:eastAsia="zh-CN" w:bidi="ar"/>
        </w:rPr>
        <w:t>为确保对医患使用安全有保障，对</w:t>
      </w:r>
      <w:r>
        <w:rPr>
          <w:rFonts w:hint="eastAsia" w:cs="宋体"/>
          <w:i w:val="0"/>
          <w:iCs w:val="0"/>
          <w:caps w:val="0"/>
          <w:spacing w:val="0"/>
          <w:kern w:val="2"/>
          <w:sz w:val="24"/>
          <w:szCs w:val="24"/>
          <w:highlight w:val="none"/>
          <w:shd w:val="clear"/>
          <w:vertAlign w:val="baseline"/>
          <w:lang w:val="en-US" w:eastAsia="zh-CN" w:bidi="ar"/>
        </w:rPr>
        <w:t>提供的直饮水</w:t>
      </w:r>
      <w:r>
        <w:rPr>
          <w:rFonts w:hint="eastAsia" w:ascii="宋体" w:hAnsi="宋体" w:eastAsia="宋体" w:cs="宋体"/>
          <w:i w:val="0"/>
          <w:iCs w:val="0"/>
          <w:caps w:val="0"/>
          <w:spacing w:val="0"/>
          <w:kern w:val="2"/>
          <w:sz w:val="24"/>
          <w:szCs w:val="24"/>
          <w:highlight w:val="none"/>
          <w:shd w:val="clear"/>
          <w:vertAlign w:val="baseline"/>
          <w:lang w:val="en-US" w:eastAsia="zh-CN" w:bidi="ar"/>
        </w:rPr>
        <w:t>整机及主要涉水部件：PP棉、颗粒活性炭、炭棒、波纹管、加热内胆、储水桶、RO400G具有有效期内的产品责任险</w:t>
      </w:r>
      <w:r>
        <w:rPr>
          <w:rFonts w:hint="eastAsia" w:cs="宋体"/>
          <w:i w:val="0"/>
          <w:iCs w:val="0"/>
          <w:caps w:val="0"/>
          <w:spacing w:val="0"/>
          <w:kern w:val="2"/>
          <w:sz w:val="24"/>
          <w:szCs w:val="24"/>
          <w:highlight w:val="none"/>
          <w:shd w:val="clear"/>
          <w:vertAlign w:val="baseline"/>
          <w:lang w:val="en-US" w:eastAsia="zh-CN" w:bidi="ar"/>
        </w:rPr>
        <w:t>，</w:t>
      </w:r>
      <w:r>
        <w:rPr>
          <w:rFonts w:hint="eastAsia" w:ascii="宋体" w:hAnsi="宋体" w:eastAsia="宋体" w:cs="宋体"/>
          <w:i w:val="0"/>
          <w:iCs w:val="0"/>
          <w:caps w:val="0"/>
          <w:spacing w:val="0"/>
          <w:kern w:val="2"/>
          <w:sz w:val="24"/>
          <w:szCs w:val="24"/>
          <w:highlight w:val="none"/>
          <w:shd w:val="clear"/>
          <w:vertAlign w:val="baseline"/>
          <w:lang w:val="en-US" w:eastAsia="zh-CN" w:bidi="ar"/>
        </w:rPr>
        <w:t>产品责任险保额金额</w:t>
      </w:r>
      <w:r>
        <w:rPr>
          <w:rFonts w:hint="eastAsia" w:cs="宋体"/>
          <w:i w:val="0"/>
          <w:iCs w:val="0"/>
          <w:caps w:val="0"/>
          <w:spacing w:val="0"/>
          <w:kern w:val="2"/>
          <w:sz w:val="24"/>
          <w:szCs w:val="24"/>
          <w:highlight w:val="none"/>
          <w:shd w:val="clear"/>
          <w:vertAlign w:val="baseline"/>
          <w:lang w:val="en-US" w:eastAsia="zh-CN" w:bidi="ar"/>
        </w:rPr>
        <w:t>能够涵盖赔付金额。（投标文件中须提供承诺函并加盖投标人公章，格式自拟，投保承诺的期限须涵盖本项目服务期，内容应当涵盖本项所有内容）。</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2" w:firstLineChars="200"/>
        <w:jc w:val="both"/>
        <w:textAlignment w:val="auto"/>
        <w:rPr>
          <w:rFonts w:hint="eastAsia" w:cs="宋体"/>
          <w:b/>
          <w:bCs/>
          <w:i w:val="0"/>
          <w:iCs w:val="0"/>
          <w:caps w:val="0"/>
          <w:spacing w:val="0"/>
          <w:kern w:val="0"/>
          <w:sz w:val="24"/>
          <w:szCs w:val="24"/>
          <w:shd w:val="clear"/>
          <w:vertAlign w:val="baseline"/>
          <w:lang w:val="en-US" w:eastAsia="zh-CN" w:bidi="ar"/>
        </w:rPr>
      </w:pPr>
      <w:r>
        <w:rPr>
          <w:rFonts w:hint="eastAsia" w:cs="宋体"/>
          <w:b/>
          <w:bCs/>
          <w:i w:val="0"/>
          <w:iCs w:val="0"/>
          <w:caps w:val="0"/>
          <w:spacing w:val="0"/>
          <w:kern w:val="0"/>
          <w:sz w:val="24"/>
          <w:szCs w:val="24"/>
          <w:shd w:val="clear"/>
          <w:vertAlign w:val="baseline"/>
          <w:lang w:val="en-US" w:eastAsia="zh-CN" w:bidi="ar"/>
        </w:rPr>
        <w:t>（二）直饮水机技术要求</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1、龙头配置：至少一热水一常温，常温水可直饮。</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2、过滤要求：多级过滤。</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3、净化水质：净化后的水必须达到安全直饮标准，净化后的水质符合GB/T5750-2006生活饮用水标准检验办法的要求，符合国家GB5749-2006生活饮用水卫生标准。出水水质符合《生活饮用水水质处理器卫生安全与功能评价规范——反渗透处理装置》（2001）的要求或符合CJ94-2005《饮用净水标准》。</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eastAsia"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▲4、内胆、波纹管采用食品级304不锈钢材质（提供能证明其内胆、波纹管为304不锈钢材质的相关证明材料或国家认可的第三方检测机构出具的检测报告）。</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eastAsia"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▲5、直饮水机的PE水管、热胆、压力桶、电磁阀、滤壳符合GB 4806.7-2023《食品安全国家标准 食品接触用塑料材料及制品》标准、GB4806.9-2023《食品安全国家标准 食品接触用金属材料及制品》、GB4806.11-2016《食品安全国家标准 食品接触用橡胶材料及制品》；（提供经国家认可的第三方检测机构出具的符合以上标准的检测报告)；</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6、具备定时开关机，童锁保护、故障停电、缺水保护、防干烧、防漏电、防漏水等功能；</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7、具备杀菌功能，确保存水水质安全；</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default"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8、系统设计应满足7×24小时连续运行要求；</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default"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9、主机及管路无死腔设计，系统具备开机自动冲洗与检测功能；</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240" w:firstLineChars="100"/>
        <w:jc w:val="left"/>
        <w:textAlignment w:val="auto"/>
        <w:rPr>
          <w:rFonts w:hint="default" w:cs="宋体"/>
          <w:i w:val="0"/>
          <w:iCs w:val="0"/>
          <w:caps w:val="0"/>
          <w:spacing w:val="0"/>
          <w:kern w:val="2"/>
          <w:sz w:val="24"/>
          <w:szCs w:val="24"/>
          <w:highlight w:val="none"/>
          <w:shd w:val="clear"/>
          <w:vertAlign w:val="baseline"/>
          <w:lang w:val="en-US" w:eastAsia="zh-CN" w:bidi="ar"/>
        </w:rPr>
      </w:pPr>
      <w:r>
        <w:rPr>
          <w:rFonts w:hint="eastAsia" w:cs="宋体"/>
          <w:i w:val="0"/>
          <w:iCs w:val="0"/>
          <w:caps w:val="0"/>
          <w:spacing w:val="0"/>
          <w:kern w:val="2"/>
          <w:sz w:val="24"/>
          <w:szCs w:val="24"/>
          <w:highlight w:val="none"/>
          <w:shd w:val="clear"/>
          <w:vertAlign w:val="baseline"/>
          <w:lang w:val="en-US" w:eastAsia="zh-CN" w:bidi="ar"/>
        </w:rPr>
        <w:t>★10、具有经省级卫生行政部门审批的、在有效期内整机的《涉及饮用水卫生安全产品卫生许可批件》（投标文件中须提供《涉及饮用水卫生安全产品卫生许可批件》复印件加盖投标人公章，且送检单位与所投产品厂家名称一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cs="宋体"/>
          <w:b/>
          <w:bCs/>
          <w:sz w:val="24"/>
          <w:szCs w:val="24"/>
          <w:lang w:val="en-US" w:eastAsia="zh-CN"/>
        </w:rPr>
      </w:pPr>
      <w:r>
        <w:rPr>
          <w:rFonts w:hint="eastAsia" w:cs="宋体"/>
          <w:b/>
          <w:bCs/>
          <w:sz w:val="24"/>
          <w:szCs w:val="24"/>
          <w:lang w:val="en-US" w:eastAsia="zh-CN"/>
        </w:rPr>
        <w:t>四、商务要求</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1、标的提供的时间：合同签订后10天</w:t>
      </w:r>
      <w:r>
        <w:rPr>
          <w:rFonts w:hint="eastAsia" w:cs="宋体"/>
          <w:i w:val="0"/>
          <w:iCs w:val="0"/>
          <w:caps w:val="0"/>
          <w:spacing w:val="0"/>
          <w:kern w:val="2"/>
          <w:sz w:val="24"/>
          <w:szCs w:val="24"/>
          <w:highlight w:val="none"/>
          <w:shd w:val="clear"/>
          <w:vertAlign w:val="baseline"/>
          <w:lang w:val="en-US" w:eastAsia="zh-CN" w:bidi="ar"/>
        </w:rPr>
        <w:t>内</w:t>
      </w:r>
      <w:r>
        <w:rPr>
          <w:rFonts w:hint="eastAsia" w:ascii="宋体" w:hAnsi="宋体" w:eastAsia="宋体" w:cs="宋体"/>
          <w:i w:val="0"/>
          <w:iCs w:val="0"/>
          <w:caps w:val="0"/>
          <w:spacing w:val="0"/>
          <w:kern w:val="2"/>
          <w:sz w:val="24"/>
          <w:szCs w:val="24"/>
          <w:highlight w:val="none"/>
          <w:shd w:val="clear"/>
          <w:vertAlign w:val="baseline"/>
          <w:lang w:val="en-US" w:eastAsia="zh-CN" w:bidi="ar"/>
        </w:rPr>
        <w:t>完成所有直饮水设备安装调试并交付使用，在验收合格之日开始计算服务期。</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2、标的提供的地点：珠海市香洲区第二人民医院</w:t>
      </w:r>
      <w:r>
        <w:rPr>
          <w:rFonts w:hint="eastAsia" w:ascii="宋体" w:hAnsi="宋体" w:eastAsia="宋体" w:cs="宋体"/>
          <w:i w:val="0"/>
          <w:iCs w:val="0"/>
          <w:caps w:val="0"/>
          <w:spacing w:val="0"/>
          <w:kern w:val="2"/>
          <w:sz w:val="24"/>
          <w:szCs w:val="24"/>
          <w:highlight w:val="none"/>
          <w:shd w:val="clear"/>
          <w:vertAlign w:val="baseline"/>
          <w:lang w:val="zh-CN" w:eastAsia="zh-CN" w:bidi="ar"/>
        </w:rPr>
        <w:t>，</w:t>
      </w:r>
      <w:r>
        <w:rPr>
          <w:rFonts w:hint="eastAsia" w:ascii="宋体" w:hAnsi="宋体" w:eastAsia="宋体" w:cs="宋体"/>
          <w:i w:val="0"/>
          <w:iCs w:val="0"/>
          <w:caps w:val="0"/>
          <w:spacing w:val="0"/>
          <w:kern w:val="2"/>
          <w:sz w:val="24"/>
          <w:szCs w:val="24"/>
          <w:highlight w:val="none"/>
          <w:shd w:val="clear"/>
          <w:vertAlign w:val="baseline"/>
          <w:lang w:val="en-US" w:eastAsia="zh-CN" w:bidi="ar"/>
        </w:rPr>
        <w:t>采购人指定的位置。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3、付款方式：</w:t>
      </w:r>
      <w:r>
        <w:rPr>
          <w:rFonts w:hint="eastAsia" w:ascii="宋体" w:hAnsi="宋体" w:eastAsia="宋体" w:cs="宋体"/>
          <w:i w:val="0"/>
          <w:iCs w:val="0"/>
          <w:caps w:val="0"/>
          <w:color w:val="auto"/>
          <w:spacing w:val="0"/>
          <w:kern w:val="2"/>
          <w:sz w:val="24"/>
          <w:szCs w:val="24"/>
          <w:highlight w:val="none"/>
          <w:shd w:val="clear"/>
          <w:vertAlign w:val="baseline"/>
          <w:lang w:val="en-US" w:eastAsia="zh-CN" w:bidi="ar"/>
        </w:rPr>
        <w:t>按月结算，每月付款金额为：年度租赁金额/12个月。中标人需在每月10日之前将上月的器械处理量以服务对账单、发票交予采购人，采购单位从收到发票及相关资料核对无误后60天内付款。</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4、验收标准：</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（1）验收标准：招标文件、投标文件、合同和国家相关质量标准；</w:t>
      </w:r>
    </w:p>
    <w:p>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left"/>
        <w:textAlignment w:val="auto"/>
        <w:rPr>
          <w:rFonts w:hint="eastAsia" w:ascii="宋体" w:hAnsi="宋体" w:eastAsia="宋体" w:cs="宋体"/>
          <w:i w:val="0"/>
          <w:iCs w:val="0"/>
          <w:caps w:val="0"/>
          <w:spacing w:val="0"/>
          <w:kern w:val="2"/>
          <w:sz w:val="24"/>
          <w:szCs w:val="24"/>
          <w:highlight w:val="none"/>
          <w:shd w:val="clear"/>
          <w:vertAlign w:val="baseline"/>
          <w:lang w:val="en-US" w:eastAsia="zh-CN" w:bidi="ar"/>
        </w:rPr>
      </w:pPr>
      <w:r>
        <w:rPr>
          <w:rFonts w:hint="eastAsia" w:ascii="宋体" w:hAnsi="宋体" w:eastAsia="宋体" w:cs="宋体"/>
          <w:i w:val="0"/>
          <w:iCs w:val="0"/>
          <w:caps w:val="0"/>
          <w:spacing w:val="0"/>
          <w:kern w:val="2"/>
          <w:sz w:val="24"/>
          <w:szCs w:val="24"/>
          <w:highlight w:val="none"/>
          <w:shd w:val="clear"/>
          <w:vertAlign w:val="baseline"/>
          <w:lang w:val="en-US" w:eastAsia="zh-CN" w:bidi="ar"/>
        </w:rPr>
        <w:t>（2）验收方法：验收合格后，由中标人和采购人依据合同条款及项目要求共同签字验收，中标人须为验收提供必需的设备、工具及其他便利条件。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jc w:val="both"/>
        <w:textAlignment w:val="auto"/>
        <w:rPr>
          <w:rFonts w:hint="eastAsia"/>
          <w:lang w:val="en-US" w:eastAsia="zh-CN"/>
        </w:rPr>
      </w:pPr>
      <w:r>
        <w:rPr>
          <w:rFonts w:hint="eastAsia" w:cs="宋体"/>
          <w:b/>
          <w:bCs/>
          <w:sz w:val="24"/>
          <w:szCs w:val="24"/>
          <w:lang w:val="en-US" w:eastAsia="zh-CN"/>
        </w:rPr>
        <w:t>五、评审方法及评审标准</w:t>
      </w:r>
    </w:p>
    <w:p>
      <w:pPr>
        <w:keepNext w:val="0"/>
        <w:keepLines w:val="0"/>
        <w:pageBreakBefore w:val="0"/>
        <w:widowControl w:val="0"/>
        <w:numPr>
          <w:ilvl w:val="0"/>
          <w:numId w:val="0"/>
        </w:numPr>
        <w:kinsoku/>
        <w:wordWrap/>
        <w:overflowPunct/>
        <w:topLinePunct w:val="0"/>
        <w:autoSpaceDE w:val="0"/>
        <w:autoSpaceDN w:val="0"/>
        <w:bidi w:val="0"/>
        <w:adjustRightInd/>
        <w:snapToGrid/>
        <w:spacing w:after="0" w:line="360" w:lineRule="auto"/>
        <w:ind w:firstLine="480" w:firstLineChars="200"/>
        <w:jc w:val="both"/>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本项目采用综合评分法。满足采购文件全部实质性要求，且按照评审因素的量化指标评审得分最高的供应商为成交候选人。</w:t>
      </w:r>
    </w:p>
    <w:p>
      <w:pPr>
        <w:pStyle w:val="16"/>
        <w:rPr>
          <w:rFonts w:hint="eastAsia"/>
        </w:rPr>
      </w:pPr>
    </w:p>
    <w:p>
      <w:pPr>
        <w:pStyle w:val="16"/>
        <w:keepNext w:val="0"/>
        <w:keepLines w:val="0"/>
        <w:pageBreakBefore w:val="0"/>
        <w:widowControl w:val="0"/>
        <w:kinsoku/>
        <w:wordWrap/>
        <w:overflowPunct/>
        <w:topLinePunct w:val="0"/>
        <w:autoSpaceDE w:val="0"/>
        <w:autoSpaceDN w:val="0"/>
        <w:bidi w:val="0"/>
        <w:adjustRightInd/>
        <w:snapToGrid/>
        <w:spacing w:after="0" w:line="500" w:lineRule="exact"/>
        <w:ind w:left="0" w:leftChars="0" w:firstLine="560" w:firstLineChars="200"/>
        <w:textAlignment w:val="auto"/>
        <w:rPr>
          <w:rFonts w:hint="eastAsia" w:asciiTheme="minorEastAsia" w:hAnsiTheme="minorEastAsia" w:eastAsiaTheme="minorEastAsia" w:cstheme="minorEastAsia"/>
          <w:i w:val="0"/>
          <w:caps w:val="0"/>
          <w:color w:val="auto"/>
          <w:spacing w:val="0"/>
          <w:sz w:val="28"/>
          <w:szCs w:val="28"/>
          <w:shd w:val="clear" w:fill="FFFFFF"/>
        </w:rPr>
        <w:sectPr>
          <w:pgSz w:w="11906" w:h="16838"/>
          <w:pgMar w:top="1434" w:right="1474" w:bottom="1434" w:left="1474" w:header="851" w:footer="992" w:gutter="0"/>
          <w:pgNumType w:fmt="decimal"/>
          <w:cols w:space="425" w:num="1"/>
          <w:docGrid w:type="lines" w:linePitch="312" w:charSpace="0"/>
        </w:sectPr>
      </w:pPr>
    </w:p>
    <w:p>
      <w:pPr>
        <w:widowControl w:val="0"/>
        <w:spacing w:line="360" w:lineRule="auto"/>
        <w:ind w:firstLine="0" w:firstLineChars="0"/>
        <w:jc w:val="center"/>
        <w:rPr>
          <w:rFonts w:hint="eastAsia" w:ascii="宋体" w:hAnsi="宋体" w:eastAsia="宋体" w:cs="宋体"/>
          <w:b/>
          <w:color w:val="auto"/>
          <w:sz w:val="36"/>
          <w:szCs w:val="44"/>
          <w:highlight w:val="none"/>
          <w:lang w:val="en-US" w:eastAsia="zh-CN" w:bidi="ar-SA"/>
        </w:rPr>
      </w:pPr>
      <w:r>
        <w:rPr>
          <w:rFonts w:hint="eastAsia" w:ascii="宋体" w:hAnsi="宋体" w:eastAsia="宋体" w:cs="宋体"/>
          <w:b/>
          <w:color w:val="auto"/>
          <w:sz w:val="36"/>
          <w:szCs w:val="44"/>
          <w:highlight w:val="none"/>
          <w:lang w:val="en-US" w:eastAsia="zh-CN" w:bidi="ar-SA"/>
        </w:rPr>
        <w:t>第三部分  投标人须知前附表</w:t>
      </w:r>
    </w:p>
    <w:p>
      <w:pPr>
        <w:pStyle w:val="6"/>
        <w:tabs>
          <w:tab w:val="left" w:pos="7560"/>
        </w:tabs>
        <w:spacing w:line="360" w:lineRule="auto"/>
        <w:ind w:firstLine="0" w:firstLineChars="0"/>
        <w:jc w:val="center"/>
        <w:rPr>
          <w:rFonts w:hint="eastAsia" w:ascii="宋体" w:hAnsi="宋体" w:cs="宋体"/>
          <w:b/>
          <w:color w:val="auto"/>
          <w:sz w:val="36"/>
          <w:szCs w:val="44"/>
          <w:highlight w:val="none"/>
        </w:rPr>
      </w:pPr>
      <w:r>
        <w:rPr>
          <w:rFonts w:hint="eastAsia" w:ascii="宋体" w:hAnsi="宋体" w:cs="宋体"/>
          <w:b/>
          <w:color w:val="auto"/>
          <w:sz w:val="36"/>
          <w:szCs w:val="44"/>
          <w:highlight w:val="none"/>
        </w:rPr>
        <w:t>投标人须知前附表</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本表是对《投标人须知》的具体补充和说明，如有矛盾，应以本表为准（本表条款号为第七部分相应条款的条款号）。</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1"/>
        <w:gridCol w:w="8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条款号</w:t>
            </w:r>
          </w:p>
        </w:tc>
        <w:tc>
          <w:tcPr>
            <w:tcW w:w="8814"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2" w:hRule="atLeast"/>
          <w:jc w:val="center"/>
        </w:trPr>
        <w:tc>
          <w:tcPr>
            <w:tcW w:w="9665" w:type="dxa"/>
            <w:gridSpan w:val="2"/>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说</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8814" w:type="dxa"/>
            <w:noWrap w:val="0"/>
            <w:vAlign w:val="center"/>
          </w:tcPr>
          <w:p>
            <w:pPr>
              <w:pStyle w:val="6"/>
              <w:spacing w:line="360" w:lineRule="auto"/>
              <w:ind w:firstLine="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项目名称：</w:t>
            </w:r>
            <w:r>
              <w:rPr>
                <w:rFonts w:hint="eastAsia" w:ascii="宋体" w:hAnsi="宋体" w:cs="宋体"/>
                <w:color w:val="auto"/>
                <w:sz w:val="21"/>
                <w:szCs w:val="21"/>
                <w:highlight w:val="none"/>
                <w:lang w:val="en-US" w:eastAsia="zh-CN"/>
              </w:rPr>
              <w:t>珠海市香洲区第二人民医院</w:t>
            </w:r>
            <w:r>
              <w:rPr>
                <w:rFonts w:hint="eastAsia" w:cs="宋体"/>
                <w:color w:val="auto"/>
                <w:sz w:val="21"/>
                <w:szCs w:val="21"/>
                <w:highlight w:val="none"/>
                <w:lang w:val="en-US" w:eastAsia="zh-CN"/>
              </w:rPr>
              <w:t>直饮水机租赁</w:t>
            </w:r>
            <w:r>
              <w:rPr>
                <w:rFonts w:hint="eastAsia" w:ascii="宋体" w:hAnsi="宋体" w:cs="宋体"/>
                <w:color w:val="auto"/>
                <w:sz w:val="21"/>
                <w:szCs w:val="21"/>
                <w:highlight w:val="none"/>
                <w:lang w:val="en-US" w:eastAsia="zh-CN"/>
              </w:rPr>
              <w:t>服务采购项目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2.1</w:t>
            </w:r>
          </w:p>
        </w:tc>
        <w:tc>
          <w:tcPr>
            <w:tcW w:w="8814" w:type="dxa"/>
            <w:noWrap w:val="0"/>
            <w:vAlign w:val="center"/>
          </w:tcPr>
          <w:p>
            <w:pPr>
              <w:pStyle w:val="6"/>
              <w:spacing w:line="360" w:lineRule="auto"/>
              <w:ind w:firstLine="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采购人名称：</w:t>
            </w:r>
            <w:r>
              <w:rPr>
                <w:rFonts w:hint="eastAsia" w:ascii="宋体" w:hAnsi="宋体"/>
                <w:color w:val="auto"/>
                <w:sz w:val="21"/>
                <w:szCs w:val="21"/>
                <w:highlight w:val="none"/>
              </w:rPr>
              <w:t>珠海市香洲区第二人民医院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2.2</w:t>
            </w:r>
          </w:p>
        </w:tc>
        <w:tc>
          <w:tcPr>
            <w:tcW w:w="8814" w:type="dxa"/>
            <w:noWrap w:val="0"/>
            <w:vAlign w:val="center"/>
          </w:tcPr>
          <w:p>
            <w:pPr>
              <w:pStyle w:val="6"/>
              <w:spacing w:line="360" w:lineRule="auto"/>
              <w:ind w:firstLine="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投标人资格要求：详见招标公告“投标人的资格要求”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2.3</w:t>
            </w:r>
          </w:p>
        </w:tc>
        <w:tc>
          <w:tcPr>
            <w:tcW w:w="8814" w:type="dxa"/>
            <w:noWrap w:val="0"/>
            <w:vAlign w:val="center"/>
          </w:tcPr>
          <w:p>
            <w:pPr>
              <w:pStyle w:val="6"/>
              <w:spacing w:line="360" w:lineRule="auto"/>
              <w:ind w:firstLine="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665" w:type="dxa"/>
            <w:gridSpan w:val="2"/>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投标文件的编制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w:t>
            </w:r>
          </w:p>
        </w:tc>
        <w:tc>
          <w:tcPr>
            <w:tcW w:w="8814" w:type="dxa"/>
            <w:noWrap w:val="0"/>
            <w:vAlign w:val="center"/>
          </w:tcPr>
          <w:p>
            <w:pPr>
              <w:pStyle w:val="6"/>
              <w:spacing w:line="360" w:lineRule="auto"/>
              <w:ind w:firstLine="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投标报价：</w:t>
            </w:r>
            <w:r>
              <w:rPr>
                <w:rFonts w:hint="eastAsia" w:cs="宋体"/>
                <w:color w:val="auto"/>
                <w:sz w:val="21"/>
                <w:szCs w:val="21"/>
                <w:highlight w:val="none"/>
                <w:lang w:val="en-US" w:eastAsia="zh-CN"/>
              </w:rPr>
              <w:t>直饮水机租赁服务</w:t>
            </w:r>
            <w:r>
              <w:rPr>
                <w:rFonts w:hint="eastAsia" w:ascii="宋体" w:hAnsi="宋体" w:cs="宋体"/>
                <w:color w:val="auto"/>
                <w:sz w:val="21"/>
                <w:szCs w:val="21"/>
                <w:highlight w:val="none"/>
              </w:rPr>
              <w:t>整个过程服务中的</w:t>
            </w:r>
            <w:r>
              <w:rPr>
                <w:rFonts w:hint="eastAsia" w:cs="宋体"/>
                <w:color w:val="auto"/>
                <w:sz w:val="21"/>
                <w:szCs w:val="21"/>
                <w:highlight w:val="none"/>
                <w:lang w:val="en-US" w:eastAsia="zh-CN"/>
              </w:rPr>
              <w:t>管理、</w:t>
            </w:r>
            <w:r>
              <w:rPr>
                <w:rFonts w:hint="eastAsia" w:ascii="宋体" w:hAnsi="宋体" w:cs="宋体"/>
                <w:color w:val="auto"/>
                <w:sz w:val="21"/>
                <w:szCs w:val="21"/>
                <w:highlight w:val="none"/>
              </w:rPr>
              <w:t>人工、运输工具、材料等以及不可预见的一切费用，如出现任何遗漏内容需产生额外费用，均由中标人自行承担，采购人将不再另支付任何费用。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4</w:t>
            </w: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投标有效期：开标之日起90个日历日。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47" w:hRule="atLeast"/>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w:t>
            </w: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投标文件数量：</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（1）纸质投标文件：正本一份，副本贰份。（根据“节约能源、保护环境”的理念，建议投标人采用A4纸、双面打印、胶装）</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（2）电子版投标文件：一份。（投标人根据</w:t>
            </w:r>
            <w:r>
              <w:rPr>
                <w:rFonts w:hint="eastAsia" w:hAnsi="宋体" w:cs="宋体"/>
                <w:color w:val="auto"/>
                <w:sz w:val="21"/>
                <w:szCs w:val="21"/>
                <w:highlight w:val="none"/>
              </w:rPr>
              <w:t>招标文件</w:t>
            </w:r>
            <w:r>
              <w:rPr>
                <w:rFonts w:hint="eastAsia" w:ascii="宋体" w:hAnsi="宋体" w:cs="宋体"/>
                <w:color w:val="auto"/>
                <w:sz w:val="21"/>
                <w:szCs w:val="21"/>
                <w:highlight w:val="none"/>
              </w:rPr>
              <w:t>编制要求制作投标文件</w:t>
            </w:r>
            <w:r>
              <w:rPr>
                <w:rFonts w:hint="eastAsia" w:hAnsi="宋体" w:cs="宋体"/>
                <w:color w:val="auto"/>
                <w:sz w:val="21"/>
                <w:szCs w:val="21"/>
                <w:highlight w:val="none"/>
              </w:rPr>
              <w:t>，</w:t>
            </w:r>
            <w:r>
              <w:rPr>
                <w:rFonts w:hint="eastAsia" w:ascii="宋体" w:hAnsi="宋体" w:cs="宋体"/>
                <w:color w:val="auto"/>
                <w:sz w:val="21"/>
                <w:szCs w:val="21"/>
                <w:highlight w:val="none"/>
              </w:rPr>
              <w:t>签字、盖章</w:t>
            </w:r>
            <w:r>
              <w:rPr>
                <w:rFonts w:hint="eastAsia" w:hAnsi="宋体" w:cs="宋体"/>
                <w:color w:val="auto"/>
                <w:sz w:val="21"/>
                <w:szCs w:val="21"/>
                <w:highlight w:val="none"/>
              </w:rPr>
              <w:t>后</w:t>
            </w:r>
            <w:r>
              <w:rPr>
                <w:rFonts w:hint="eastAsia" w:ascii="宋体" w:hAnsi="宋体" w:cs="宋体"/>
                <w:color w:val="auto"/>
                <w:sz w:val="21"/>
                <w:szCs w:val="21"/>
                <w:highlight w:val="none"/>
              </w:rPr>
              <w:t>将</w:t>
            </w:r>
            <w:r>
              <w:rPr>
                <w:rFonts w:hint="eastAsia" w:hAnsi="宋体" w:cs="宋体"/>
                <w:color w:val="auto"/>
                <w:sz w:val="21"/>
                <w:szCs w:val="21"/>
                <w:highlight w:val="none"/>
              </w:rPr>
              <w:t>正本</w:t>
            </w:r>
            <w:r>
              <w:rPr>
                <w:rFonts w:hint="eastAsia" w:ascii="宋体" w:hAnsi="宋体" w:cs="宋体"/>
                <w:color w:val="auto"/>
                <w:sz w:val="21"/>
                <w:szCs w:val="21"/>
                <w:highlight w:val="none"/>
              </w:rPr>
              <w:t>彩色扫描形成</w:t>
            </w:r>
            <w:r>
              <w:rPr>
                <w:rFonts w:hint="eastAsia" w:hAnsi="宋体" w:cs="宋体"/>
                <w:color w:val="auto"/>
                <w:sz w:val="21"/>
                <w:szCs w:val="21"/>
                <w:highlight w:val="none"/>
              </w:rPr>
              <w:t>PDF格式的</w:t>
            </w:r>
            <w:r>
              <w:rPr>
                <w:rFonts w:hint="eastAsia" w:ascii="宋体" w:hAnsi="宋体" w:cs="宋体"/>
                <w:color w:val="auto"/>
                <w:sz w:val="21"/>
                <w:szCs w:val="21"/>
                <w:highlight w:val="none"/>
              </w:rPr>
              <w:t>电子文档。将PDF电子文档</w:t>
            </w:r>
            <w:r>
              <w:rPr>
                <w:rFonts w:hint="eastAsia" w:hAnsi="宋体" w:cs="宋体"/>
                <w:color w:val="auto"/>
                <w:sz w:val="21"/>
                <w:szCs w:val="21"/>
                <w:highlight w:val="none"/>
              </w:rPr>
              <w:t>以及</w:t>
            </w:r>
            <w:r>
              <w:rPr>
                <w:rFonts w:hint="eastAsia" w:ascii="宋体" w:hAnsi="宋体" w:cs="宋体"/>
                <w:color w:val="auto"/>
                <w:sz w:val="21"/>
                <w:szCs w:val="21"/>
                <w:highlight w:val="none"/>
              </w:rPr>
              <w:t>可编辑word或excel文档刻录成U盘存贮。</w:t>
            </w:r>
            <w:r>
              <w:rPr>
                <w:rFonts w:hint="eastAsia" w:hAnsi="宋体" w:cs="宋体"/>
                <w:b/>
                <w:bCs/>
                <w:color w:val="auto"/>
                <w:sz w:val="22"/>
                <w:szCs w:val="22"/>
                <w:highlight w:val="none"/>
              </w:rPr>
              <w:t>若未按上述要求提供各类电子文档或提供的电子文档与投标文件正本不一致，由此产生的投标风险由投标人自行承担。</w:t>
            </w:r>
            <w:r>
              <w:rPr>
                <w:rFonts w:hint="eastAsia" w:ascii="宋体" w:hAnsi="宋体" w:cs="宋体"/>
                <w:color w:val="auto"/>
                <w:sz w:val="21"/>
                <w:szCs w:val="21"/>
                <w:highlight w:val="none"/>
              </w:rPr>
              <w:t>光盘或U盘重命名为投标人名称与投标文件密封在同一包装提交，提交的光盘或U盘于投标截止时间后不予退还）</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（3）若为分包组项目，各包组应分别准备以上内容。</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注：评审时以纸质投标文件为准。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665" w:type="dxa"/>
            <w:gridSpan w:val="2"/>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投标文件的递交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提交投标文件截止时间、开标时间及地点详见招标文件第一部分《招标公告》。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665" w:type="dxa"/>
            <w:gridSpan w:val="2"/>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开标、评标、定标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7</w:t>
            </w: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本项目的评标由依法组建的评标委员会负责，其成员由采购人代表等方面的专家组成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8" w:hRule="atLeast"/>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8</w:t>
            </w:r>
          </w:p>
        </w:tc>
        <w:tc>
          <w:tcPr>
            <w:tcW w:w="8814" w:type="dxa"/>
            <w:noWrap w:val="0"/>
            <w:vAlign w:val="center"/>
          </w:tcPr>
          <w:p>
            <w:pPr>
              <w:keepLines/>
              <w:tabs>
                <w:tab w:val="left" w:pos="-30"/>
              </w:tabs>
              <w:adjustRightInd w:val="0"/>
              <w:snapToGrid w:val="0"/>
              <w:spacing w:line="360" w:lineRule="auto"/>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在投标文件初审过程中，如发现下列情况之一的，其投标将被视为未实质性响应招标文件而作无效投标处理：</w:t>
            </w:r>
          </w:p>
          <w:p>
            <w:pPr>
              <w:keepLines/>
              <w:tabs>
                <w:tab w:val="left" w:pos="872"/>
              </w:tabs>
              <w:adjustRightInd w:val="0"/>
              <w:snapToGrid w:val="0"/>
              <w:spacing w:line="360" w:lineRule="auto"/>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（1）投标文件未按招标文件要求签署、盖章的</w:t>
            </w:r>
            <w:r>
              <w:rPr>
                <w:rFonts w:hint="eastAsia" w:ascii="宋体" w:hAnsi="宋体" w:cs="宋体"/>
                <w:b/>
                <w:bCs/>
                <w:color w:val="auto"/>
                <w:sz w:val="21"/>
                <w:szCs w:val="21"/>
                <w:highlight w:val="none"/>
              </w:rPr>
              <w:t>（不接受电子公章、电子签名或者电子签章)</w:t>
            </w:r>
            <w:r>
              <w:rPr>
                <w:rFonts w:hint="eastAsia" w:ascii="宋体" w:hAnsi="宋体" w:cs="宋体"/>
                <w:color w:val="auto"/>
                <w:sz w:val="21"/>
                <w:szCs w:val="21"/>
                <w:highlight w:val="none"/>
              </w:rPr>
              <w:t>；</w:t>
            </w:r>
          </w:p>
          <w:p>
            <w:pPr>
              <w:keepLines/>
              <w:tabs>
                <w:tab w:val="left" w:pos="872"/>
              </w:tabs>
              <w:adjustRightInd w:val="0"/>
              <w:snapToGrid w:val="0"/>
              <w:spacing w:line="360" w:lineRule="auto"/>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（2）不具备招标文件中规定的资格要求的；</w:t>
            </w:r>
          </w:p>
          <w:p>
            <w:pPr>
              <w:keepLines/>
              <w:tabs>
                <w:tab w:val="left" w:pos="872"/>
              </w:tabs>
              <w:adjustRightInd w:val="0"/>
              <w:snapToGrid w:val="0"/>
              <w:spacing w:line="360" w:lineRule="auto"/>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（3）报价高于招标文件中规定的预算金额的；</w:t>
            </w:r>
          </w:p>
          <w:p>
            <w:pPr>
              <w:keepLines/>
              <w:tabs>
                <w:tab w:val="left" w:pos="872"/>
              </w:tabs>
              <w:adjustRightInd w:val="0"/>
              <w:snapToGrid w:val="0"/>
              <w:spacing w:line="360" w:lineRule="auto"/>
              <w:jc w:val="both"/>
              <w:rPr>
                <w:rFonts w:hint="eastAsia" w:ascii="宋体" w:hAnsi="宋体" w:cs="宋体"/>
                <w:color w:val="auto"/>
                <w:sz w:val="21"/>
                <w:szCs w:val="21"/>
                <w:highlight w:val="none"/>
              </w:rPr>
            </w:pPr>
            <w:r>
              <w:rPr>
                <w:rFonts w:hint="eastAsia" w:ascii="宋体" w:hAnsi="宋体" w:cs="宋体"/>
                <w:color w:val="auto"/>
                <w:sz w:val="21"/>
                <w:szCs w:val="21"/>
                <w:highlight w:val="none"/>
              </w:rPr>
              <w:t>（4）投标文件含有采购人不能接受的附加条件的；</w:t>
            </w:r>
          </w:p>
          <w:p>
            <w:pPr>
              <w:pStyle w:val="6"/>
              <w:spacing w:line="360" w:lineRule="auto"/>
              <w:ind w:firstLine="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（5）法律、法规和招标文件规定的其他无效情形。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9</w:t>
            </w:r>
          </w:p>
        </w:tc>
        <w:tc>
          <w:tcPr>
            <w:tcW w:w="8814" w:type="dxa"/>
            <w:noWrap w:val="0"/>
            <w:vAlign w:val="center"/>
          </w:tcPr>
          <w:p>
            <w:pPr>
              <w:widowControl w:val="0"/>
              <w:spacing w:line="360" w:lineRule="auto"/>
              <w:jc w:val="both"/>
              <w:rPr>
                <w:rFonts w:hint="eastAsia" w:ascii="宋体" w:hAnsi="宋体" w:cs="宋体"/>
                <w:bCs/>
                <w:color w:val="auto"/>
                <w:kern w:val="2"/>
                <w:sz w:val="21"/>
                <w:szCs w:val="21"/>
                <w:highlight w:val="none"/>
              </w:rPr>
            </w:pPr>
            <w:r>
              <w:rPr>
                <w:rFonts w:hint="eastAsia" w:ascii="宋体" w:hAnsi="宋体" w:cs="宋体"/>
                <w:bCs/>
                <w:color w:val="auto"/>
                <w:kern w:val="2"/>
                <w:sz w:val="21"/>
                <w:szCs w:val="21"/>
                <w:highlight w:val="none"/>
              </w:rPr>
              <w:t>本项目采用综合评分法来确定中标候选人，首先进行资格审查和符合性审查，对通过资格审查和符合性审查的投标人进行详细评审，其操作程序为：</w:t>
            </w:r>
          </w:p>
          <w:p>
            <w:pPr>
              <w:widowControl w:val="0"/>
              <w:spacing w:line="360" w:lineRule="auto"/>
              <w:jc w:val="both"/>
              <w:rPr>
                <w:rFonts w:hint="eastAsia" w:ascii="宋体" w:hAnsi="宋体" w:cs="宋体"/>
                <w:bCs/>
                <w:color w:val="auto"/>
                <w:kern w:val="2"/>
                <w:sz w:val="21"/>
                <w:szCs w:val="21"/>
                <w:highlight w:val="none"/>
              </w:rPr>
            </w:pPr>
            <w:r>
              <w:rPr>
                <w:rFonts w:hint="eastAsia" w:ascii="宋体" w:hAnsi="宋体" w:cs="宋体"/>
                <w:bCs/>
                <w:color w:val="auto"/>
                <w:kern w:val="2"/>
                <w:sz w:val="21"/>
                <w:szCs w:val="21"/>
                <w:highlight w:val="none"/>
              </w:rPr>
              <w:t>按照商务技术评分细则、投标报价评分细则（具体评分细则详见第四部分）进行评分。</w:t>
            </w:r>
          </w:p>
          <w:p>
            <w:pPr>
              <w:widowControl w:val="0"/>
              <w:spacing w:line="360" w:lineRule="auto"/>
              <w:jc w:val="both"/>
              <w:rPr>
                <w:rFonts w:hint="eastAsia" w:ascii="宋体" w:hAnsi="宋体" w:cs="宋体"/>
                <w:bCs/>
                <w:color w:val="auto"/>
                <w:kern w:val="2"/>
                <w:sz w:val="21"/>
                <w:szCs w:val="21"/>
                <w:highlight w:val="none"/>
              </w:rPr>
            </w:pPr>
            <w:r>
              <w:rPr>
                <w:rFonts w:hint="eastAsia" w:ascii="宋体" w:hAnsi="宋体" w:cs="宋体"/>
                <w:bCs/>
                <w:color w:val="auto"/>
                <w:kern w:val="2"/>
                <w:sz w:val="21"/>
                <w:szCs w:val="21"/>
                <w:highlight w:val="none"/>
              </w:rPr>
              <w:t>特别说明：</w:t>
            </w:r>
          </w:p>
          <w:p>
            <w:pPr>
              <w:widowControl w:val="0"/>
              <w:spacing w:line="360" w:lineRule="auto"/>
              <w:jc w:val="both"/>
              <w:rPr>
                <w:rFonts w:hint="eastAsia" w:ascii="宋体" w:hAnsi="宋体" w:cs="宋体"/>
                <w:bCs/>
                <w:color w:val="auto"/>
                <w:kern w:val="2"/>
                <w:sz w:val="21"/>
                <w:szCs w:val="21"/>
                <w:highlight w:val="none"/>
              </w:rPr>
            </w:pPr>
            <w:r>
              <w:rPr>
                <w:rFonts w:hint="eastAsia" w:ascii="宋体" w:hAnsi="宋体" w:cs="宋体"/>
                <w:bCs/>
                <w:color w:val="auto"/>
                <w:kern w:val="2"/>
                <w:sz w:val="21"/>
                <w:szCs w:val="21"/>
                <w:highlight w:val="none"/>
              </w:rPr>
              <w:t>（1）由评委独立地根据各项指标的评分标准，结合每个投标人的实际情况，分别就各项指标对每个投标人独立打分，需要统一打分的客观评分，由主任评委组织各评委统一评审。</w:t>
            </w:r>
          </w:p>
          <w:p>
            <w:pPr>
              <w:widowControl w:val="0"/>
              <w:spacing w:line="360" w:lineRule="auto"/>
              <w:jc w:val="both"/>
              <w:rPr>
                <w:rFonts w:hint="eastAsia" w:ascii="宋体" w:hAnsi="宋体" w:cs="宋体"/>
                <w:bCs/>
                <w:color w:val="auto"/>
                <w:kern w:val="2"/>
                <w:sz w:val="21"/>
                <w:szCs w:val="21"/>
                <w:highlight w:val="none"/>
              </w:rPr>
            </w:pPr>
            <w:r>
              <w:rPr>
                <w:rFonts w:hint="eastAsia" w:ascii="宋体" w:hAnsi="宋体" w:cs="宋体"/>
                <w:bCs/>
                <w:color w:val="auto"/>
                <w:kern w:val="2"/>
                <w:sz w:val="21"/>
                <w:szCs w:val="21"/>
                <w:highlight w:val="none"/>
              </w:rPr>
              <w:t>（2）投标报价得分采用低价优先法计算，满足采购文件要求且投标价格折扣率最低的投标报价为评标基准价，其价格分为满分。其他投标人的价格分统一按照下列公式计算：投标报价得分=</w:t>
            </w:r>
            <w:r>
              <w:rPr>
                <w:rFonts w:hint="eastAsia" w:cs="宋体"/>
                <w:bCs/>
                <w:color w:val="auto"/>
                <w:kern w:val="2"/>
                <w:sz w:val="21"/>
                <w:szCs w:val="21"/>
                <w:highlight w:val="none"/>
                <w:lang w:eastAsia="zh-CN"/>
              </w:rPr>
              <w:t>（</w:t>
            </w:r>
            <w:r>
              <w:rPr>
                <w:rFonts w:hint="eastAsia" w:ascii="宋体" w:hAnsi="宋体" w:cs="宋体"/>
                <w:bCs/>
                <w:color w:val="auto"/>
                <w:kern w:val="2"/>
                <w:sz w:val="21"/>
                <w:szCs w:val="21"/>
                <w:highlight w:val="none"/>
              </w:rPr>
              <w:t>评标基准价</w:t>
            </w:r>
            <w:r>
              <w:rPr>
                <w:rFonts w:hint="eastAsia" w:cs="宋体"/>
                <w:bCs/>
                <w:color w:val="auto"/>
                <w:kern w:val="2"/>
                <w:sz w:val="21"/>
                <w:szCs w:val="21"/>
                <w:highlight w:val="none"/>
                <w:lang w:val="en-US" w:eastAsia="zh-CN"/>
              </w:rPr>
              <w:t>/投标报价）</w:t>
            </w:r>
            <w:r>
              <w:rPr>
                <w:rFonts w:hint="eastAsia" w:ascii="宋体" w:hAnsi="宋体" w:cs="宋体"/>
                <w:bCs/>
                <w:color w:val="auto"/>
                <w:kern w:val="2"/>
                <w:sz w:val="21"/>
                <w:szCs w:val="21"/>
                <w:highlight w:val="none"/>
              </w:rPr>
              <w:t>×</w:t>
            </w:r>
            <w:r>
              <w:rPr>
                <w:rFonts w:hint="eastAsia" w:cs="宋体"/>
                <w:bCs/>
                <w:color w:val="auto"/>
                <w:kern w:val="2"/>
                <w:sz w:val="21"/>
                <w:szCs w:val="21"/>
                <w:highlight w:val="none"/>
                <w:lang w:val="en-US" w:eastAsia="zh-CN"/>
              </w:rPr>
              <w:t>3</w:t>
            </w:r>
            <w:r>
              <w:rPr>
                <w:rFonts w:hint="eastAsia" w:ascii="宋体" w:hAnsi="宋体" w:cs="宋体"/>
                <w:bCs/>
                <w:color w:val="auto"/>
                <w:kern w:val="2"/>
                <w:sz w:val="21"/>
                <w:szCs w:val="21"/>
                <w:highlight w:val="none"/>
                <w:lang w:val="en-US" w:eastAsia="zh-CN"/>
              </w:rPr>
              <w:t>0</w:t>
            </w:r>
            <w:r>
              <w:rPr>
                <w:rFonts w:hint="eastAsia" w:ascii="宋体" w:hAnsi="宋体" w:cs="宋体"/>
                <w:bCs/>
                <w:color w:val="auto"/>
                <w:kern w:val="2"/>
                <w:sz w:val="21"/>
                <w:szCs w:val="21"/>
                <w:highlight w:val="none"/>
              </w:rPr>
              <w:t>。</w:t>
            </w:r>
          </w:p>
          <w:p>
            <w:pPr>
              <w:widowControl w:val="0"/>
              <w:spacing w:line="360" w:lineRule="auto"/>
              <w:jc w:val="both"/>
              <w:rPr>
                <w:rFonts w:hint="eastAsia" w:ascii="宋体" w:hAnsi="宋体" w:cs="宋体"/>
                <w:bCs/>
                <w:color w:val="auto"/>
                <w:kern w:val="2"/>
                <w:sz w:val="21"/>
                <w:szCs w:val="21"/>
                <w:highlight w:val="none"/>
              </w:rPr>
            </w:pPr>
            <w:r>
              <w:rPr>
                <w:rFonts w:hint="eastAsia" w:ascii="宋体" w:hAnsi="宋体" w:cs="宋体"/>
                <w:bCs/>
                <w:color w:val="auto"/>
                <w:kern w:val="2"/>
                <w:sz w:val="21"/>
                <w:szCs w:val="21"/>
                <w:highlight w:val="none"/>
              </w:rPr>
              <w:t>（3）投标最终得分=商务标得分+投标报价得分。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10</w:t>
            </w: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评标委员会将推荐最终得分排名前3名的投标人为本项目的中标候选人，计算最终得分时将四舍五入后，小数点后保留两位有效数；最终</w:t>
            </w:r>
            <w:r>
              <w:rPr>
                <w:rFonts w:hint="eastAsia" w:ascii="宋体" w:hAnsi="宋体" w:cs="宋体"/>
                <w:color w:val="auto"/>
                <w:sz w:val="21"/>
                <w:szCs w:val="21"/>
                <w:highlight w:val="none"/>
                <w:lang w:val="en-US" w:eastAsia="zh-CN"/>
              </w:rPr>
              <w:t>总</w:t>
            </w:r>
            <w:r>
              <w:rPr>
                <w:rFonts w:hint="eastAsia" w:ascii="宋体" w:hAnsi="宋体" w:cs="宋体"/>
                <w:color w:val="auto"/>
                <w:sz w:val="21"/>
                <w:szCs w:val="21"/>
                <w:highlight w:val="none"/>
              </w:rPr>
              <w:t>得分相同的，按下列顺序比较确定：（1）最后报价（由低到高）。（2）最后报价相同的，按技术得分由高到低顺序排列。如最后报价和技术得分都相同的，名次由评标委员会抽签确定。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2" w:hRule="atLeast"/>
          <w:jc w:val="center"/>
        </w:trPr>
        <w:tc>
          <w:tcPr>
            <w:tcW w:w="851" w:type="dxa"/>
            <w:noWrap w:val="0"/>
            <w:vAlign w:val="center"/>
          </w:tcPr>
          <w:p>
            <w:pPr>
              <w:pStyle w:val="6"/>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11</w:t>
            </w: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本项目按以下方式确定中标人（标注“■”为确定方式）：</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□由采购人授权评标委员会依照中标候选人排序依法确定</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名中标人</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■由采购人依照中标候选人排序依法确定</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名中标人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665" w:type="dxa"/>
            <w:gridSpan w:val="2"/>
            <w:noWrap w:val="0"/>
            <w:vAlign w:val="center"/>
          </w:tcPr>
          <w:p>
            <w:pPr>
              <w:pStyle w:val="6"/>
              <w:spacing w:line="360" w:lineRule="auto"/>
              <w:ind w:firstLine="0" w:firstLineChars="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授予合同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noWrap w:val="0"/>
            <w:vAlign w:val="center"/>
          </w:tcPr>
          <w:p>
            <w:pPr>
              <w:pStyle w:val="6"/>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12</w:t>
            </w: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代理服务费：无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7" w:hRule="atLeast"/>
          <w:jc w:val="center"/>
        </w:trPr>
        <w:tc>
          <w:tcPr>
            <w:tcW w:w="851" w:type="dxa"/>
            <w:vMerge w:val="restart"/>
            <w:noWrap w:val="0"/>
            <w:vAlign w:val="center"/>
          </w:tcPr>
          <w:p>
            <w:pPr>
              <w:pStyle w:val="6"/>
              <w:spacing w:line="36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13</w:t>
            </w: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本项目不收取投标保证金。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vMerge w:val="continue"/>
            <w:noWrap w:val="0"/>
            <w:vAlign w:val="center"/>
          </w:tcPr>
          <w:p>
            <w:pPr>
              <w:pStyle w:val="6"/>
              <w:spacing w:line="360" w:lineRule="auto"/>
              <w:ind w:firstLine="0" w:firstLineChars="0"/>
              <w:jc w:val="center"/>
              <w:rPr>
                <w:rFonts w:hint="eastAsia" w:ascii="宋体" w:hAnsi="宋体" w:cs="宋体"/>
                <w:color w:val="auto"/>
                <w:sz w:val="21"/>
                <w:szCs w:val="21"/>
                <w:highlight w:val="none"/>
              </w:rPr>
            </w:pP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本项目相关公告在以下媒体发布（标注“■”为发布媒体）：</w:t>
            </w:r>
          </w:p>
          <w:p>
            <w:pPr>
              <w:pStyle w:val="6"/>
              <w:spacing w:line="360" w:lineRule="auto"/>
              <w:ind w:firstLine="0" w:firstLineChars="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珠海市</w:t>
            </w:r>
            <w:r>
              <w:rPr>
                <w:rFonts w:hint="eastAsia" w:ascii="宋体" w:hAnsi="宋体" w:cs="宋体"/>
                <w:color w:val="auto"/>
                <w:sz w:val="21"/>
                <w:szCs w:val="21"/>
                <w:highlight w:val="none"/>
              </w:rPr>
              <w:t>香洲区第二人民医院</w:t>
            </w:r>
            <w:r>
              <w:rPr>
                <w:rFonts w:hint="eastAsia" w:ascii="宋体" w:hAnsi="宋体" w:cs="宋体"/>
                <w:color w:val="auto"/>
                <w:sz w:val="21"/>
                <w:szCs w:val="21"/>
                <w:highlight w:val="none"/>
                <w:lang w:val="en-US" w:eastAsia="zh-CN"/>
              </w:rPr>
              <w:t>官网</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相关公告在媒体上公布之日即视为有效送达，不再另行通知。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851" w:type="dxa"/>
            <w:vMerge w:val="continue"/>
            <w:noWrap w:val="0"/>
            <w:vAlign w:val="center"/>
          </w:tcPr>
          <w:p>
            <w:pPr>
              <w:pStyle w:val="6"/>
              <w:spacing w:line="360" w:lineRule="auto"/>
              <w:ind w:firstLine="0" w:firstLineChars="0"/>
              <w:jc w:val="center"/>
              <w:rPr>
                <w:rFonts w:hint="eastAsia" w:ascii="宋体" w:hAnsi="宋体" w:cs="宋体"/>
                <w:color w:val="auto"/>
                <w:sz w:val="21"/>
                <w:szCs w:val="21"/>
                <w:highlight w:val="none"/>
              </w:rPr>
            </w:pPr>
          </w:p>
        </w:tc>
        <w:tc>
          <w:tcPr>
            <w:tcW w:w="8814" w:type="dxa"/>
            <w:noWrap w:val="0"/>
            <w:vAlign w:val="center"/>
          </w:tcPr>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如投标人认为本招标文件中存在“不合理的条件对投标人实行差别待遇或者歧视待遇”，或者对其他任何条款有异议，应当在获取招标文件或者招标文件公告期限届满之日起7个工作日内提出（投标人在法定质疑期内须一次性提出针对同一采购程序环节的质疑，针对同一采购程序环节提出的多次质疑将不予受理），否则视为无异议，采购人将不再受理此后对招标文件的任何异议。</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接收质疑函的方式：书面形式。</w:t>
            </w:r>
          </w:p>
          <w:p>
            <w:pPr>
              <w:pStyle w:val="6"/>
              <w:spacing w:line="360" w:lineRule="auto"/>
              <w:ind w:firstLine="0" w:firstLineChars="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联系人：</w:t>
            </w:r>
            <w:r>
              <w:rPr>
                <w:rFonts w:hint="eastAsia" w:cs="宋体"/>
                <w:color w:val="auto"/>
                <w:sz w:val="21"/>
                <w:szCs w:val="21"/>
                <w:highlight w:val="none"/>
                <w:lang w:val="en-US" w:eastAsia="zh-CN"/>
              </w:rPr>
              <w:t>李小姐</w:t>
            </w:r>
            <w:r>
              <w:rPr>
                <w:rFonts w:hint="eastAsia" w:ascii="宋体" w:hAnsi="宋体" w:cs="宋体"/>
                <w:color w:val="auto"/>
                <w:sz w:val="21"/>
                <w:szCs w:val="21"/>
                <w:highlight w:val="none"/>
              </w:rPr>
              <w:t xml:space="preserve">    联系电话：0756-8288</w:t>
            </w:r>
            <w:r>
              <w:rPr>
                <w:rFonts w:hint="eastAsia" w:cs="宋体"/>
                <w:color w:val="auto"/>
                <w:sz w:val="21"/>
                <w:szCs w:val="21"/>
                <w:highlight w:val="none"/>
                <w:lang w:val="en-US" w:eastAsia="zh-CN"/>
              </w:rPr>
              <w:t>7</w:t>
            </w:r>
            <w:r>
              <w:rPr>
                <w:rFonts w:hint="eastAsia" w:ascii="宋体" w:hAnsi="宋体" w:cs="宋体"/>
                <w:color w:val="auto"/>
                <w:sz w:val="21"/>
                <w:szCs w:val="21"/>
                <w:highlight w:val="none"/>
                <w:lang w:val="en-US" w:eastAsia="zh-CN"/>
              </w:rPr>
              <w:t>2</w:t>
            </w:r>
            <w:r>
              <w:rPr>
                <w:rFonts w:hint="eastAsia" w:cs="宋体"/>
                <w:color w:val="auto"/>
                <w:sz w:val="21"/>
                <w:szCs w:val="21"/>
                <w:highlight w:val="none"/>
                <w:lang w:val="en-US" w:eastAsia="zh-CN"/>
              </w:rPr>
              <w:t>3</w:t>
            </w:r>
          </w:p>
          <w:p>
            <w:pPr>
              <w:pStyle w:val="6"/>
              <w:spacing w:line="360" w:lineRule="auto"/>
              <w:ind w:firstLine="0" w:firstLineChars="0"/>
              <w:rPr>
                <w:rFonts w:hint="eastAsia" w:ascii="宋体" w:hAnsi="宋体" w:cs="宋体"/>
                <w:color w:val="auto"/>
                <w:sz w:val="21"/>
                <w:szCs w:val="21"/>
                <w:highlight w:val="none"/>
              </w:rPr>
            </w:pPr>
            <w:r>
              <w:rPr>
                <w:rFonts w:hint="eastAsia" w:ascii="宋体" w:hAnsi="宋体" w:cs="宋体"/>
                <w:color w:val="auto"/>
                <w:sz w:val="21"/>
                <w:szCs w:val="21"/>
                <w:highlight w:val="none"/>
              </w:rPr>
              <w:t>通讯地址：珠海市香洲区第二人民医院保障楼</w:t>
            </w:r>
            <w:r>
              <w:rPr>
                <w:rFonts w:hint="eastAsia" w:ascii="宋体" w:hAnsi="宋体" w:cs="宋体"/>
                <w:color w:val="auto"/>
                <w:sz w:val="21"/>
                <w:szCs w:val="21"/>
                <w:highlight w:val="none"/>
                <w:lang w:val="en-US" w:eastAsia="zh-CN"/>
              </w:rPr>
              <w:t>20</w:t>
            </w:r>
            <w:r>
              <w:rPr>
                <w:rFonts w:hint="eastAsia" w:cs="宋体"/>
                <w:color w:val="auto"/>
                <w:sz w:val="21"/>
                <w:szCs w:val="21"/>
                <w:highlight w:val="none"/>
                <w:lang w:val="en-US" w:eastAsia="zh-CN"/>
              </w:rPr>
              <w:t>7</w:t>
            </w:r>
            <w:r>
              <w:rPr>
                <w:rFonts w:hint="eastAsia" w:ascii="宋体" w:hAnsi="宋体" w:cs="宋体"/>
                <w:color w:val="auto"/>
                <w:sz w:val="21"/>
                <w:szCs w:val="21"/>
                <w:highlight w:val="none"/>
              </w:rPr>
              <w:t>室</w:t>
            </w:r>
          </w:p>
        </w:tc>
      </w:tr>
    </w:tbl>
    <w:p>
      <w:pPr>
        <w:spacing w:line="360" w:lineRule="auto"/>
        <w:jc w:val="center"/>
        <w:rPr>
          <w:rFonts w:hint="eastAsia" w:cs="宋体"/>
          <w:b/>
          <w:kern w:val="28"/>
          <w:sz w:val="32"/>
          <w:szCs w:val="32"/>
          <w:lang w:val="en-US" w:eastAsia="zh-CN"/>
        </w:rPr>
      </w:pPr>
    </w:p>
    <w:p>
      <w:pPr>
        <w:rPr>
          <w:rFonts w:hint="eastAsia"/>
          <w:lang w:val="en-US" w:eastAsia="zh-CN"/>
        </w:rPr>
      </w:pPr>
    </w:p>
    <w:p>
      <w:pPr>
        <w:spacing w:line="360" w:lineRule="auto"/>
        <w:jc w:val="center"/>
        <w:rPr>
          <w:rFonts w:hint="eastAsia" w:cs="宋体"/>
          <w:b/>
          <w:kern w:val="28"/>
          <w:sz w:val="32"/>
          <w:szCs w:val="32"/>
          <w:lang w:val="en-US" w:eastAsia="zh-CN"/>
        </w:rPr>
        <w:sectPr>
          <w:pgSz w:w="11906" w:h="16838"/>
          <w:pgMar w:top="1434" w:right="1474" w:bottom="1434" w:left="1474" w:header="851" w:footer="992" w:gutter="0"/>
          <w:pgNumType w:fmt="decimal"/>
          <w:cols w:space="425" w:num="1"/>
          <w:docGrid w:type="lines" w:linePitch="312" w:charSpace="0"/>
        </w:sectPr>
      </w:pPr>
    </w:p>
    <w:p>
      <w:pPr>
        <w:widowControl w:val="0"/>
        <w:spacing w:line="360" w:lineRule="auto"/>
        <w:ind w:firstLine="0" w:firstLineChars="0"/>
        <w:jc w:val="center"/>
        <w:rPr>
          <w:rFonts w:hint="eastAsia" w:ascii="宋体" w:hAnsi="宋体" w:eastAsia="宋体" w:cs="宋体"/>
          <w:b/>
          <w:color w:val="auto"/>
          <w:sz w:val="36"/>
          <w:szCs w:val="44"/>
          <w:highlight w:val="none"/>
          <w:lang w:val="en-US" w:eastAsia="zh-CN" w:bidi="ar-SA"/>
        </w:rPr>
      </w:pPr>
      <w:r>
        <w:rPr>
          <w:rFonts w:hint="eastAsia" w:ascii="宋体" w:hAnsi="宋体" w:eastAsia="宋体" w:cs="宋体"/>
          <w:b/>
          <w:color w:val="auto"/>
          <w:sz w:val="36"/>
          <w:szCs w:val="44"/>
          <w:highlight w:val="none"/>
          <w:lang w:val="en-US" w:eastAsia="zh-CN" w:bidi="ar-SA"/>
        </w:rPr>
        <w:t>第四部分 评标方法与标准</w:t>
      </w:r>
    </w:p>
    <w:p>
      <w:pPr>
        <w:widowControl w:val="0"/>
        <w:spacing w:line="360" w:lineRule="auto"/>
        <w:ind w:firstLine="0" w:firstLineChars="0"/>
        <w:jc w:val="center"/>
        <w:rPr>
          <w:rFonts w:hint="eastAsia" w:ascii="宋体" w:hAnsi="宋体" w:eastAsia="宋体" w:cs="宋体"/>
          <w:b/>
          <w:color w:val="auto"/>
          <w:sz w:val="36"/>
          <w:szCs w:val="44"/>
          <w:highlight w:val="none"/>
          <w:lang w:val="en-US" w:eastAsia="zh-CN" w:bidi="ar-SA"/>
        </w:rPr>
      </w:pPr>
      <w:r>
        <w:rPr>
          <w:rFonts w:hint="eastAsia" w:ascii="宋体" w:hAnsi="宋体" w:eastAsia="宋体" w:cs="宋体"/>
          <w:b/>
          <w:color w:val="auto"/>
          <w:sz w:val="36"/>
          <w:szCs w:val="44"/>
          <w:highlight w:val="none"/>
          <w:lang w:val="en-US" w:eastAsia="zh-CN" w:bidi="ar-SA"/>
        </w:rPr>
        <w:t>评标方法与标准</w:t>
      </w:r>
    </w:p>
    <w:p>
      <w:pPr>
        <w:widowControl w:val="0"/>
        <w:numPr>
          <w:ilvl w:val="0"/>
          <w:numId w:val="0"/>
        </w:numPr>
        <w:autoSpaceDE w:val="0"/>
        <w:autoSpaceDN w:val="0"/>
        <w:spacing w:before="0" w:after="0" w:line="240" w:lineRule="auto"/>
        <w:ind w:left="0" w:right="0" w:firstLine="440" w:firstLineChars="200"/>
        <w:jc w:val="both"/>
        <w:rPr>
          <w:rFonts w:hint="eastAsia" w:ascii="宋体" w:hAnsi="宋体" w:eastAsia="宋体" w:cs="宋体"/>
          <w:i w:val="0"/>
          <w:iCs w:val="0"/>
          <w:caps w:val="0"/>
          <w:color w:val="auto"/>
          <w:spacing w:val="0"/>
          <w:sz w:val="22"/>
          <w:szCs w:val="22"/>
          <w:shd w:val="clear" w:color="auto" w:fill="auto"/>
          <w:lang w:val="zh-CN" w:bidi="ar-SA"/>
        </w:rPr>
      </w:pPr>
      <w:r>
        <w:rPr>
          <w:rFonts w:hint="eastAsia" w:ascii="宋体" w:hAnsi="宋体" w:eastAsia="宋体" w:cs="宋体"/>
          <w:i w:val="0"/>
          <w:iCs w:val="0"/>
          <w:caps w:val="0"/>
          <w:color w:val="auto"/>
          <w:spacing w:val="0"/>
          <w:sz w:val="22"/>
          <w:szCs w:val="22"/>
          <w:shd w:val="clear" w:color="auto" w:fill="auto"/>
          <w:lang w:val="zh-CN" w:eastAsia="zh-CN" w:bidi="ar-SA"/>
        </w:rPr>
        <w:t>（</w:t>
      </w:r>
      <w:r>
        <w:rPr>
          <w:rFonts w:hint="eastAsia" w:ascii="宋体" w:hAnsi="宋体" w:eastAsia="宋体" w:cs="宋体"/>
          <w:i w:val="0"/>
          <w:iCs w:val="0"/>
          <w:caps w:val="0"/>
          <w:color w:val="auto"/>
          <w:spacing w:val="0"/>
          <w:sz w:val="22"/>
          <w:szCs w:val="22"/>
          <w:shd w:val="clear" w:color="auto" w:fill="auto"/>
          <w:lang w:val="en-US" w:eastAsia="zh-CN" w:bidi="ar-SA"/>
        </w:rPr>
        <w:t>一</w:t>
      </w:r>
      <w:r>
        <w:rPr>
          <w:rFonts w:hint="eastAsia" w:ascii="宋体" w:hAnsi="宋体" w:eastAsia="宋体" w:cs="宋体"/>
          <w:i w:val="0"/>
          <w:iCs w:val="0"/>
          <w:caps w:val="0"/>
          <w:color w:val="auto"/>
          <w:spacing w:val="0"/>
          <w:sz w:val="22"/>
          <w:szCs w:val="22"/>
          <w:shd w:val="clear" w:color="auto" w:fill="auto"/>
          <w:lang w:val="zh-CN" w:eastAsia="zh-CN" w:bidi="ar-SA"/>
        </w:rPr>
        <w:t>）</w:t>
      </w:r>
      <w:r>
        <w:rPr>
          <w:rFonts w:hint="eastAsia" w:ascii="宋体" w:hAnsi="宋体" w:eastAsia="宋体" w:cs="宋体"/>
          <w:i w:val="0"/>
          <w:iCs w:val="0"/>
          <w:caps w:val="0"/>
          <w:color w:val="auto"/>
          <w:spacing w:val="0"/>
          <w:sz w:val="22"/>
          <w:szCs w:val="22"/>
          <w:shd w:val="clear" w:color="auto" w:fill="auto"/>
          <w:lang w:val="zh-CN" w:bidi="ar-SA"/>
        </w:rPr>
        <w:t>评标方式</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highlight w:val="none"/>
          <w:lang w:val="zh-CN" w:bidi="zh-CN"/>
        </w:rPr>
      </w:pPr>
      <w:r>
        <w:rPr>
          <w:rFonts w:hint="eastAsia" w:ascii="宋体" w:hAnsi="宋体" w:eastAsia="宋体" w:cs="宋体"/>
          <w:color w:val="auto"/>
          <w:sz w:val="22"/>
          <w:szCs w:val="22"/>
          <w:highlight w:val="none"/>
          <w:lang w:val="zh-CN" w:bidi="zh-CN"/>
        </w:rPr>
        <w:t>1.本项目各包组采用综合评分法。满足采购文件全部实质性要求，且按照评审因素的量化指标评审得分最高的供应商为成交候选人。</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highlight w:val="none"/>
          <w:lang w:val="zh-CN" w:bidi="zh-CN"/>
        </w:rPr>
      </w:pPr>
      <w:r>
        <w:rPr>
          <w:rFonts w:hint="eastAsia" w:ascii="宋体" w:hAnsi="宋体" w:eastAsia="宋体" w:cs="宋体"/>
          <w:color w:val="auto"/>
          <w:sz w:val="22"/>
          <w:szCs w:val="22"/>
          <w:highlight w:val="none"/>
          <w:lang w:val="zh-CN" w:bidi="zh-CN"/>
        </w:rPr>
        <w:t>2.评标小组先对所有投标人进行资格性审查和符合性审查。投标人必须严格按照《资格性、符合性审查表》的评审内容的要求如实提供证明材料并应加盖投标人公章，若投标人不满足《资格性、符合性审查表》中任何情形之一的，则其投标无效。</w:t>
      </w:r>
    </w:p>
    <w:p>
      <w:pPr>
        <w:adjustRightInd/>
        <w:ind w:firstLine="440" w:firstLineChars="200"/>
        <w:rPr>
          <w:rFonts w:hint="eastAsia"/>
          <w:color w:val="auto"/>
          <w:highlight w:val="none"/>
          <w:lang w:val="zh-CN"/>
        </w:rPr>
      </w:pPr>
      <w:r>
        <w:rPr>
          <w:rFonts w:hint="eastAsia"/>
          <w:color w:val="auto"/>
          <w:highlight w:val="none"/>
          <w:lang w:val="zh-CN"/>
        </w:rPr>
        <w:t>异常低价审查：本项目评审中出现下列情形之一的，评审委员会应当启动异常低价投标（响应）审查程序：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（3）投标（响应）报价低于采购项目最高限价45%的，即投标（响应）报价&lt;采购项目最高限价×45%； （4）其他评审委员会认为供应商报价过低，有可能影响产品质量或者不能诚信履约的情形。 如项目（包组）采用下浮率报价的，则所述的投标（响应）报价， 则为（1-下浮率报价）。 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 被启动异常低价审查的供应商，如果不提供书面说明、证明材料，或者提供的书面说明、证明材料不能证明其报价合理性的，应当将其作为无效投标（响应）处理。 通过异常低价审查的不足3家，不得进入详细评审。</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bidi="zh-CN"/>
        </w:rPr>
        <w:t>3.评标小组对通过《资格性、符合性审查表》的投标文件进行详细评审，评标小组对每一投标文件进行详细技术、商务、价格评审，评出其技术商务评分（四舍五入后，小数点后保留两位有效数）。然后，评出价格得分，将技术商务得分和价格得分相加得出综合得分，并按综合得分从高到低依次排名，出现并列得分时，价格低者优先；得分相同且价格相同的，技术得分高者优先。</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en-US" w:eastAsia="zh-CN" w:bidi="zh-CN"/>
        </w:rPr>
        <w:t>4.资格性、符合性审查标准：详见附表1；</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en-US" w:eastAsia="zh-CN" w:bidi="zh-CN"/>
        </w:rPr>
        <w:t>5.技术商务评分标准：详见附表2；</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en-US" w:eastAsia="zh-CN" w:bidi="zh-CN"/>
        </w:rPr>
        <w:t>6.价格评审标准（详见附表3）：满足招标文件要求且评标价格最低的为评标基准价，其价格分为满分。其他投标人的价格分统一按照下列公式计算：投标报价得分（精确到小数点后2位）=(评标基准价／评标价格)×权重分配</w:t>
      </w:r>
    </w:p>
    <w:p>
      <w:pPr>
        <w:widowControl w:val="0"/>
        <w:autoSpaceDE w:val="0"/>
        <w:autoSpaceDN w:val="0"/>
        <w:spacing w:before="0" w:after="0" w:line="240" w:lineRule="auto"/>
        <w:ind w:left="0" w:right="0" w:firstLine="440" w:firstLineChars="200"/>
        <w:jc w:val="left"/>
        <w:rPr>
          <w:rFonts w:hint="eastAsia" w:ascii="宋体" w:hAnsi="宋体" w:eastAsia="宋体" w:cs="宋体"/>
          <w:color w:val="auto"/>
          <w:sz w:val="22"/>
          <w:szCs w:val="22"/>
          <w:highlight w:val="none"/>
          <w:lang w:val="en-US" w:bidi="zh-CN"/>
        </w:rPr>
      </w:pPr>
      <w:r>
        <w:rPr>
          <w:rFonts w:hint="eastAsia" w:ascii="宋体" w:hAnsi="宋体" w:eastAsia="宋体" w:cs="宋体"/>
          <w:color w:val="auto"/>
          <w:sz w:val="22"/>
          <w:szCs w:val="22"/>
          <w:highlight w:val="none"/>
          <w:lang w:val="en-US" w:bidi="zh-CN"/>
        </w:rPr>
        <w:t>权重分配</w:t>
      </w:r>
    </w:p>
    <w:tbl>
      <w:tblPr>
        <w:tblStyle w:val="1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81"/>
        <w:gridCol w:w="3118"/>
        <w:gridCol w:w="200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2481" w:type="dxa"/>
            <w:tcBorders>
              <w:top w:val="double" w:color="auto" w:sz="4" w:space="0"/>
              <w:bottom w:val="single" w:color="auto" w:sz="6" w:space="0"/>
            </w:tcBorders>
            <w:shd w:val="clear" w:color="auto" w:fill="D9D9D9"/>
            <w:noWrap w:val="0"/>
            <w:vAlign w:val="center"/>
          </w:tcPr>
          <w:p>
            <w:pPr>
              <w:widowControl w:val="0"/>
              <w:autoSpaceDE/>
              <w:autoSpaceDN/>
              <w:snapToGrid w:val="0"/>
              <w:spacing w:before="0" w:after="0" w:line="240" w:lineRule="auto"/>
              <w:ind w:left="0" w:right="0" w:firstLine="0" w:firstLineChars="0"/>
              <w:jc w:val="center"/>
              <w:rPr>
                <w:rFonts w:hint="eastAsia" w:ascii="宋体" w:hAnsi="宋体" w:eastAsia="宋体" w:cs="宋体"/>
                <w:b/>
                <w:color w:val="auto"/>
                <w:sz w:val="22"/>
                <w:szCs w:val="22"/>
                <w:highlight w:val="none"/>
                <w:lang w:val="zh-CN" w:bidi="zh-CN"/>
              </w:rPr>
            </w:pPr>
            <w:r>
              <w:rPr>
                <w:rFonts w:hint="eastAsia" w:ascii="宋体" w:hAnsi="宋体" w:eastAsia="宋体" w:cs="宋体"/>
                <w:b/>
                <w:color w:val="auto"/>
                <w:sz w:val="22"/>
                <w:szCs w:val="22"/>
                <w:highlight w:val="none"/>
                <w:lang w:val="zh-CN" w:bidi="zh-CN"/>
              </w:rPr>
              <w:t>评分项目</w:t>
            </w:r>
          </w:p>
        </w:tc>
        <w:tc>
          <w:tcPr>
            <w:tcW w:w="3118" w:type="dxa"/>
            <w:tcBorders>
              <w:top w:val="double" w:color="auto" w:sz="4" w:space="0"/>
              <w:bottom w:val="single" w:color="auto" w:sz="6" w:space="0"/>
            </w:tcBorders>
            <w:shd w:val="clear" w:color="auto" w:fill="D9D9D9"/>
            <w:noWrap w:val="0"/>
            <w:vAlign w:val="center"/>
          </w:tcPr>
          <w:p>
            <w:pPr>
              <w:widowControl w:val="0"/>
              <w:autoSpaceDE/>
              <w:autoSpaceDN/>
              <w:snapToGrid w:val="0"/>
              <w:spacing w:before="0" w:after="0" w:line="240" w:lineRule="auto"/>
              <w:ind w:left="0" w:right="0"/>
              <w:jc w:val="center"/>
              <w:rPr>
                <w:rFonts w:hint="eastAsia" w:ascii="宋体" w:hAnsi="宋体" w:eastAsia="宋体" w:cs="宋体"/>
                <w:b/>
                <w:color w:val="auto"/>
                <w:sz w:val="22"/>
                <w:szCs w:val="22"/>
                <w:highlight w:val="none"/>
                <w:lang w:val="zh-CN" w:bidi="zh-CN"/>
              </w:rPr>
            </w:pPr>
            <w:r>
              <w:rPr>
                <w:rFonts w:hint="eastAsia" w:ascii="宋体" w:hAnsi="宋体" w:eastAsia="宋体" w:cs="宋体"/>
                <w:b/>
                <w:color w:val="auto"/>
                <w:sz w:val="22"/>
                <w:szCs w:val="22"/>
                <w:highlight w:val="none"/>
                <w:lang w:val="zh-CN" w:bidi="zh-CN"/>
              </w:rPr>
              <w:t>技术商务部分</w:t>
            </w:r>
          </w:p>
        </w:tc>
        <w:tc>
          <w:tcPr>
            <w:tcW w:w="2006" w:type="dxa"/>
            <w:tcBorders>
              <w:top w:val="double" w:color="auto" w:sz="4" w:space="0"/>
              <w:bottom w:val="single" w:color="auto" w:sz="6" w:space="0"/>
            </w:tcBorders>
            <w:shd w:val="clear" w:color="auto" w:fill="D9D9D9"/>
            <w:noWrap w:val="0"/>
            <w:vAlign w:val="center"/>
          </w:tcPr>
          <w:p>
            <w:pPr>
              <w:widowControl w:val="0"/>
              <w:autoSpaceDE/>
              <w:autoSpaceDN/>
              <w:snapToGrid w:val="0"/>
              <w:spacing w:before="0" w:after="0" w:line="240" w:lineRule="auto"/>
              <w:ind w:left="0" w:right="0"/>
              <w:jc w:val="center"/>
              <w:rPr>
                <w:rFonts w:hint="eastAsia" w:ascii="宋体" w:hAnsi="宋体" w:eastAsia="宋体" w:cs="宋体"/>
                <w:b/>
                <w:color w:val="auto"/>
                <w:sz w:val="22"/>
                <w:szCs w:val="22"/>
                <w:highlight w:val="none"/>
                <w:lang w:val="zh-CN" w:bidi="zh-CN"/>
              </w:rPr>
            </w:pPr>
            <w:r>
              <w:rPr>
                <w:rFonts w:hint="eastAsia" w:ascii="宋体" w:hAnsi="宋体" w:eastAsia="宋体" w:cs="宋体"/>
                <w:b/>
                <w:color w:val="auto"/>
                <w:sz w:val="22"/>
                <w:szCs w:val="22"/>
                <w:highlight w:val="none"/>
                <w:lang w:val="zh-CN" w:bidi="zh-CN"/>
              </w:rPr>
              <w:t>价格部分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481" w:type="dxa"/>
            <w:tcBorders>
              <w:top w:val="single" w:color="auto" w:sz="6" w:space="0"/>
            </w:tcBorders>
            <w:noWrap w:val="0"/>
            <w:vAlign w:val="center"/>
          </w:tcPr>
          <w:p>
            <w:pPr>
              <w:widowControl w:val="0"/>
              <w:autoSpaceDE/>
              <w:autoSpaceDN/>
              <w:snapToGrid w:val="0"/>
              <w:spacing w:before="0" w:after="0" w:line="240" w:lineRule="auto"/>
              <w:ind w:left="0" w:right="0" w:firstLine="0" w:firstLineChars="0"/>
              <w:jc w:val="center"/>
              <w:rPr>
                <w:rFonts w:hint="eastAsia" w:ascii="宋体" w:hAnsi="宋体" w:eastAsia="宋体" w:cs="宋体"/>
                <w:b/>
                <w:color w:val="auto"/>
                <w:sz w:val="22"/>
                <w:szCs w:val="22"/>
                <w:highlight w:val="none"/>
                <w:lang w:val="zh-CN" w:bidi="zh-CN"/>
              </w:rPr>
            </w:pPr>
            <w:r>
              <w:rPr>
                <w:rFonts w:hint="eastAsia" w:ascii="宋体" w:hAnsi="宋体" w:eastAsia="宋体" w:cs="宋体"/>
                <w:b/>
                <w:color w:val="auto"/>
                <w:sz w:val="22"/>
                <w:szCs w:val="22"/>
                <w:highlight w:val="none"/>
                <w:lang w:val="zh-CN" w:bidi="zh-CN"/>
              </w:rPr>
              <w:t>分    值</w:t>
            </w:r>
          </w:p>
        </w:tc>
        <w:tc>
          <w:tcPr>
            <w:tcW w:w="3118" w:type="dxa"/>
            <w:tcBorders>
              <w:top w:val="single" w:color="auto" w:sz="6" w:space="0"/>
            </w:tcBorders>
            <w:noWrap w:val="0"/>
            <w:vAlign w:val="center"/>
          </w:tcPr>
          <w:p>
            <w:pPr>
              <w:widowControl w:val="0"/>
              <w:autoSpaceDE/>
              <w:autoSpaceDN/>
              <w:snapToGrid w:val="0"/>
              <w:spacing w:before="0" w:after="0" w:line="240" w:lineRule="auto"/>
              <w:ind w:left="0" w:right="0"/>
              <w:jc w:val="center"/>
              <w:rPr>
                <w:rFonts w:hint="eastAsia" w:ascii="宋体" w:hAnsi="宋体" w:eastAsia="宋体" w:cs="宋体"/>
                <w:b/>
                <w:color w:val="auto"/>
                <w:sz w:val="22"/>
                <w:szCs w:val="22"/>
                <w:highlight w:val="none"/>
                <w:lang w:val="zh-CN" w:bidi="zh-CN"/>
              </w:rPr>
            </w:pPr>
            <w:r>
              <w:rPr>
                <w:rFonts w:hint="eastAsia" w:cs="宋体"/>
                <w:b/>
                <w:color w:val="auto"/>
                <w:sz w:val="22"/>
                <w:szCs w:val="22"/>
                <w:highlight w:val="none"/>
                <w:lang w:val="en-US" w:bidi="zh-CN"/>
              </w:rPr>
              <w:t>7</w:t>
            </w:r>
            <w:r>
              <w:rPr>
                <w:rFonts w:hint="eastAsia" w:ascii="宋体" w:hAnsi="宋体" w:eastAsia="宋体" w:cs="宋体"/>
                <w:b/>
                <w:color w:val="auto"/>
                <w:sz w:val="22"/>
                <w:szCs w:val="22"/>
                <w:highlight w:val="none"/>
                <w:lang w:val="en-US" w:bidi="zh-CN"/>
              </w:rPr>
              <w:t>0</w:t>
            </w:r>
            <w:r>
              <w:rPr>
                <w:rFonts w:hint="eastAsia" w:ascii="宋体" w:hAnsi="宋体" w:eastAsia="宋体" w:cs="宋体"/>
                <w:b/>
                <w:color w:val="auto"/>
                <w:sz w:val="22"/>
                <w:szCs w:val="22"/>
                <w:highlight w:val="none"/>
                <w:lang w:val="zh-CN" w:bidi="zh-CN"/>
              </w:rPr>
              <w:t>分</w:t>
            </w:r>
          </w:p>
        </w:tc>
        <w:tc>
          <w:tcPr>
            <w:tcW w:w="2006" w:type="dxa"/>
            <w:tcBorders>
              <w:top w:val="single" w:color="auto" w:sz="6" w:space="0"/>
            </w:tcBorders>
            <w:noWrap w:val="0"/>
            <w:vAlign w:val="center"/>
          </w:tcPr>
          <w:p>
            <w:pPr>
              <w:widowControl w:val="0"/>
              <w:autoSpaceDE/>
              <w:autoSpaceDN/>
              <w:snapToGrid w:val="0"/>
              <w:spacing w:before="0" w:after="0" w:line="240" w:lineRule="auto"/>
              <w:ind w:left="0" w:right="0" w:firstLine="0" w:firstLineChars="0"/>
              <w:jc w:val="center"/>
              <w:rPr>
                <w:rFonts w:hint="eastAsia" w:ascii="宋体" w:hAnsi="宋体" w:eastAsia="宋体" w:cs="宋体"/>
                <w:b/>
                <w:color w:val="auto"/>
                <w:sz w:val="22"/>
                <w:szCs w:val="22"/>
                <w:highlight w:val="none"/>
                <w:lang w:val="zh-CN" w:bidi="zh-CN"/>
              </w:rPr>
            </w:pPr>
            <w:r>
              <w:rPr>
                <w:rFonts w:hint="eastAsia" w:cs="宋体"/>
                <w:b/>
                <w:color w:val="auto"/>
                <w:sz w:val="22"/>
                <w:szCs w:val="22"/>
                <w:highlight w:val="none"/>
                <w:lang w:val="en-US" w:bidi="zh-CN"/>
              </w:rPr>
              <w:t>3</w:t>
            </w:r>
            <w:r>
              <w:rPr>
                <w:rFonts w:hint="eastAsia" w:ascii="宋体" w:hAnsi="宋体" w:eastAsia="宋体" w:cs="宋体"/>
                <w:b/>
                <w:color w:val="auto"/>
                <w:sz w:val="22"/>
                <w:szCs w:val="22"/>
                <w:highlight w:val="none"/>
                <w:lang w:val="en-US" w:bidi="zh-CN"/>
              </w:rPr>
              <w:t>0</w:t>
            </w:r>
            <w:r>
              <w:rPr>
                <w:rFonts w:hint="eastAsia" w:ascii="宋体" w:hAnsi="宋体" w:eastAsia="宋体" w:cs="宋体"/>
                <w:b/>
                <w:color w:val="auto"/>
                <w:sz w:val="22"/>
                <w:szCs w:val="22"/>
                <w:highlight w:val="none"/>
                <w:lang w:val="zh-CN" w:bidi="zh-CN"/>
              </w:rPr>
              <w:t>分</w:t>
            </w:r>
          </w:p>
        </w:tc>
      </w:tr>
    </w:tbl>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en-US" w:eastAsia="zh-CN" w:bidi="zh-CN"/>
        </w:rPr>
        <w:t>7.评标小组认为投标人的报价明显低于其他通过资格性、符合性审查投标人的报价，有可能影响产品质量或者不能诚信履约的，应当要求其在评标现场合理的时间内提供书面说明和相关证明材料；投标人不能证明其报价合理性的，评标小组应当将其作为无效投标处理。</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en-US" w:eastAsia="zh-CN" w:bidi="zh-CN"/>
        </w:rPr>
        <w:t>8.汇总、排序。评标小组根据综合评分情况按照最终得分由高到低推荐3名成交候选人。评审总得分相同的，按下列顺序比较确定：（1）最后报价（由低到高）。（2）最后报价相同的，按技术得分由高到低顺序排列。如最后报价和技术得分都相同的，名次由评标小组抽签确定。</w:t>
      </w:r>
    </w:p>
    <w:p>
      <w:pPr>
        <w:widowControl w:val="0"/>
        <w:numPr>
          <w:ilvl w:val="0"/>
          <w:numId w:val="0"/>
        </w:numPr>
        <w:autoSpaceDE w:val="0"/>
        <w:autoSpaceDN w:val="0"/>
        <w:spacing w:before="0" w:after="0" w:line="240" w:lineRule="auto"/>
        <w:ind w:left="0" w:right="0" w:firstLine="442" w:firstLineChars="200"/>
        <w:jc w:val="both"/>
        <w:rPr>
          <w:rFonts w:hint="eastAsia" w:ascii="宋体" w:hAnsi="宋体" w:eastAsia="宋体" w:cs="宋体"/>
          <w:b/>
          <w:bCs/>
          <w:color w:val="auto"/>
          <w:sz w:val="22"/>
          <w:szCs w:val="22"/>
          <w:highlight w:val="none"/>
          <w:lang w:val="en-US" w:eastAsia="zh-CN" w:bidi="zh-CN"/>
        </w:rPr>
      </w:pPr>
      <w:r>
        <w:rPr>
          <w:rFonts w:hint="eastAsia" w:ascii="宋体" w:hAnsi="宋体" w:eastAsia="宋体" w:cs="宋体"/>
          <w:b/>
          <w:bCs/>
          <w:color w:val="auto"/>
          <w:sz w:val="22"/>
          <w:szCs w:val="22"/>
          <w:highlight w:val="none"/>
          <w:lang w:val="en-US" w:eastAsia="zh-CN" w:bidi="zh-CN"/>
        </w:rPr>
        <w:t>注意事项：</w:t>
      </w:r>
    </w:p>
    <w:p>
      <w:pPr>
        <w:widowControl w:val="0"/>
        <w:numPr>
          <w:ilvl w:val="0"/>
          <w:numId w:val="0"/>
        </w:numPr>
        <w:autoSpaceDE w:val="0"/>
        <w:autoSpaceDN w:val="0"/>
        <w:spacing w:before="0" w:after="0" w:line="240" w:lineRule="auto"/>
        <w:ind w:left="0" w:right="0" w:firstLine="440" w:firstLineChars="200"/>
        <w:jc w:val="both"/>
        <w:rPr>
          <w:rFonts w:hint="eastAsia" w:ascii="宋体" w:hAnsi="宋体" w:eastAsia="宋体" w:cs="宋体"/>
          <w:i w:val="0"/>
          <w:iCs w:val="0"/>
          <w:caps w:val="0"/>
          <w:color w:val="auto"/>
          <w:spacing w:val="0"/>
          <w:sz w:val="22"/>
          <w:szCs w:val="22"/>
          <w:shd w:val="clear" w:color="auto" w:fill="auto"/>
          <w:lang w:val="zh-CN" w:eastAsia="zh-CN" w:bidi="ar-SA"/>
        </w:rPr>
      </w:pPr>
      <w:r>
        <w:rPr>
          <w:rFonts w:hint="eastAsia" w:ascii="宋体" w:hAnsi="宋体" w:eastAsia="宋体" w:cs="宋体"/>
          <w:i w:val="0"/>
          <w:iCs w:val="0"/>
          <w:caps w:val="0"/>
          <w:color w:val="auto"/>
          <w:spacing w:val="0"/>
          <w:sz w:val="22"/>
          <w:szCs w:val="22"/>
          <w:shd w:val="clear" w:color="auto" w:fill="auto"/>
          <w:lang w:val="zh-CN" w:eastAsia="zh-CN" w:bidi="ar-SA"/>
        </w:rPr>
        <w:t>1.投标人必须严格按照《资格</w:t>
      </w:r>
      <w:r>
        <w:rPr>
          <w:rFonts w:hint="eastAsia" w:ascii="宋体" w:hAnsi="宋体" w:eastAsia="宋体" w:cs="宋体"/>
          <w:i w:val="0"/>
          <w:iCs w:val="0"/>
          <w:caps w:val="0"/>
          <w:color w:val="auto"/>
          <w:spacing w:val="0"/>
          <w:sz w:val="22"/>
          <w:szCs w:val="22"/>
          <w:shd w:val="clear" w:color="auto" w:fill="auto"/>
          <w:lang w:val="en-US" w:eastAsia="zh-CN" w:bidi="ar-SA"/>
        </w:rPr>
        <w:t>性、</w:t>
      </w:r>
      <w:r>
        <w:rPr>
          <w:rFonts w:hint="eastAsia" w:ascii="宋体" w:hAnsi="宋体" w:eastAsia="宋体" w:cs="宋体"/>
          <w:i w:val="0"/>
          <w:iCs w:val="0"/>
          <w:caps w:val="0"/>
          <w:color w:val="auto"/>
          <w:spacing w:val="0"/>
          <w:sz w:val="22"/>
          <w:szCs w:val="22"/>
          <w:shd w:val="clear" w:color="auto" w:fill="auto"/>
          <w:lang w:val="zh-CN" w:eastAsia="zh-CN" w:bidi="ar-SA"/>
        </w:rPr>
        <w:t>符合性审查表》的评审内容的要求如实提供证明材料并应加盖投标人公章，若投标人不满足《资格</w:t>
      </w:r>
      <w:r>
        <w:rPr>
          <w:rFonts w:hint="eastAsia" w:ascii="宋体" w:hAnsi="宋体" w:eastAsia="宋体" w:cs="宋体"/>
          <w:i w:val="0"/>
          <w:iCs w:val="0"/>
          <w:caps w:val="0"/>
          <w:color w:val="auto"/>
          <w:spacing w:val="0"/>
          <w:sz w:val="22"/>
          <w:szCs w:val="22"/>
          <w:shd w:val="clear" w:color="auto" w:fill="auto"/>
          <w:lang w:val="en-US" w:eastAsia="zh-CN" w:bidi="ar-SA"/>
        </w:rPr>
        <w:t>性、</w:t>
      </w:r>
      <w:r>
        <w:rPr>
          <w:rFonts w:hint="eastAsia" w:ascii="宋体" w:hAnsi="宋体" w:eastAsia="宋体" w:cs="宋体"/>
          <w:i w:val="0"/>
          <w:iCs w:val="0"/>
          <w:caps w:val="0"/>
          <w:color w:val="auto"/>
          <w:spacing w:val="0"/>
          <w:sz w:val="22"/>
          <w:szCs w:val="22"/>
          <w:shd w:val="clear" w:color="auto" w:fill="auto"/>
          <w:lang w:val="zh-CN" w:eastAsia="zh-CN" w:bidi="ar-SA"/>
        </w:rPr>
        <w:t>符合性审查表》中任何情形之一的，则其投标无效。</w:t>
      </w:r>
    </w:p>
    <w:p>
      <w:pPr>
        <w:widowControl w:val="0"/>
        <w:numPr>
          <w:ilvl w:val="0"/>
          <w:numId w:val="0"/>
        </w:numPr>
        <w:autoSpaceDE w:val="0"/>
        <w:autoSpaceDN w:val="0"/>
        <w:spacing w:before="0" w:after="0" w:line="240" w:lineRule="auto"/>
        <w:ind w:left="0" w:right="0" w:firstLine="440" w:firstLineChars="200"/>
        <w:jc w:val="both"/>
        <w:rPr>
          <w:rFonts w:hint="eastAsia" w:ascii="宋体" w:hAnsi="宋体" w:eastAsia="宋体" w:cs="宋体"/>
          <w:i w:val="0"/>
          <w:iCs w:val="0"/>
          <w:caps w:val="0"/>
          <w:color w:val="auto"/>
          <w:spacing w:val="0"/>
          <w:sz w:val="22"/>
          <w:szCs w:val="22"/>
          <w:shd w:val="clear" w:color="auto" w:fill="auto"/>
          <w:lang w:val="zh-CN" w:eastAsia="zh-CN" w:bidi="ar-SA"/>
        </w:rPr>
      </w:pPr>
      <w:r>
        <w:rPr>
          <w:rFonts w:hint="eastAsia" w:ascii="宋体" w:hAnsi="宋体" w:eastAsia="宋体" w:cs="宋体"/>
          <w:i w:val="0"/>
          <w:iCs w:val="0"/>
          <w:caps w:val="0"/>
          <w:color w:val="auto"/>
          <w:spacing w:val="0"/>
          <w:sz w:val="22"/>
          <w:szCs w:val="22"/>
          <w:shd w:val="clear" w:color="auto" w:fill="auto"/>
          <w:lang w:val="zh-CN" w:eastAsia="zh-CN" w:bidi="ar-SA"/>
        </w:rPr>
        <w:t>2.资格、符合性审查内容详见《资格</w:t>
      </w:r>
      <w:r>
        <w:rPr>
          <w:rFonts w:hint="eastAsia" w:ascii="宋体" w:hAnsi="宋体" w:eastAsia="宋体" w:cs="宋体"/>
          <w:i w:val="0"/>
          <w:iCs w:val="0"/>
          <w:caps w:val="0"/>
          <w:color w:val="auto"/>
          <w:spacing w:val="0"/>
          <w:sz w:val="22"/>
          <w:szCs w:val="22"/>
          <w:shd w:val="clear" w:color="auto" w:fill="auto"/>
          <w:lang w:val="en-US" w:eastAsia="zh-CN" w:bidi="ar-SA"/>
        </w:rPr>
        <w:t>性、</w:t>
      </w:r>
      <w:r>
        <w:rPr>
          <w:rFonts w:hint="eastAsia" w:ascii="宋体" w:hAnsi="宋体" w:eastAsia="宋体" w:cs="宋体"/>
          <w:i w:val="0"/>
          <w:iCs w:val="0"/>
          <w:caps w:val="0"/>
          <w:color w:val="auto"/>
          <w:spacing w:val="0"/>
          <w:sz w:val="22"/>
          <w:szCs w:val="22"/>
          <w:shd w:val="clear" w:color="auto" w:fill="auto"/>
          <w:lang w:val="zh-CN" w:eastAsia="zh-CN" w:bidi="ar-SA"/>
        </w:rPr>
        <w:t>符合性审查表》。</w:t>
      </w:r>
    </w:p>
    <w:p>
      <w:pPr>
        <w:widowControl w:val="0"/>
        <w:numPr>
          <w:ilvl w:val="0"/>
          <w:numId w:val="0"/>
        </w:numPr>
        <w:autoSpaceDE w:val="0"/>
        <w:autoSpaceDN w:val="0"/>
        <w:spacing w:before="0" w:after="0" w:line="240" w:lineRule="auto"/>
        <w:ind w:left="0" w:right="0" w:firstLine="440" w:firstLineChars="200"/>
        <w:jc w:val="both"/>
        <w:rPr>
          <w:rFonts w:hint="eastAsia" w:ascii="宋体" w:hAnsi="宋体" w:eastAsia="宋体" w:cs="宋体"/>
          <w:i w:val="0"/>
          <w:iCs w:val="0"/>
          <w:caps w:val="0"/>
          <w:color w:val="auto"/>
          <w:spacing w:val="0"/>
          <w:sz w:val="22"/>
          <w:szCs w:val="22"/>
          <w:shd w:val="clear" w:color="auto" w:fill="auto"/>
          <w:lang w:val="zh-CN" w:eastAsia="zh-CN" w:bidi="ar-SA"/>
        </w:rPr>
      </w:pPr>
      <w:r>
        <w:rPr>
          <w:rFonts w:hint="eastAsia" w:ascii="宋体" w:hAnsi="宋体" w:eastAsia="宋体" w:cs="宋体"/>
          <w:i w:val="0"/>
          <w:iCs w:val="0"/>
          <w:caps w:val="0"/>
          <w:color w:val="auto"/>
          <w:spacing w:val="0"/>
          <w:sz w:val="22"/>
          <w:szCs w:val="22"/>
          <w:shd w:val="clear" w:color="auto" w:fill="auto"/>
          <w:lang w:val="zh-CN" w:eastAsia="zh-CN" w:bidi="ar-SA"/>
        </w:rPr>
        <w:t>3.技术、商务得分：评标委员会各成员分值的算术平均值（四舍五入后，小数点后保留两位有效数）。</w:t>
      </w:r>
    </w:p>
    <w:p>
      <w:pPr>
        <w:widowControl w:val="0"/>
        <w:numPr>
          <w:ilvl w:val="0"/>
          <w:numId w:val="0"/>
        </w:numPr>
        <w:autoSpaceDE w:val="0"/>
        <w:autoSpaceDN w:val="0"/>
        <w:spacing w:before="0" w:after="0" w:line="240" w:lineRule="auto"/>
        <w:ind w:left="0" w:right="0" w:firstLine="440" w:firstLineChars="200"/>
        <w:jc w:val="both"/>
        <w:rPr>
          <w:rFonts w:hint="default"/>
          <w:color w:val="auto"/>
          <w:lang w:val="en-US" w:eastAsia="zh-CN"/>
        </w:rPr>
      </w:pPr>
      <w:r>
        <w:rPr>
          <w:rFonts w:hint="eastAsia" w:ascii="宋体" w:hAnsi="宋体" w:eastAsia="宋体" w:cs="宋体"/>
          <w:i w:val="0"/>
          <w:iCs w:val="0"/>
          <w:caps w:val="0"/>
          <w:color w:val="auto"/>
          <w:spacing w:val="0"/>
          <w:sz w:val="22"/>
          <w:szCs w:val="22"/>
          <w:shd w:val="clear" w:color="auto" w:fill="auto"/>
          <w:lang w:val="zh-CN" w:eastAsia="zh-CN" w:bidi="ar-SA"/>
        </w:rPr>
        <w:t>4.投标人应如实提交《商务评分细则》《技术评分细则》和《投标报价评分细则》要求提交的相关各类证明、资料等并应加盖投标人公章，投标人如未按要求提交的，该项评分为零分。</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2" w:firstLineChars="200"/>
        <w:jc w:val="left"/>
        <w:textAlignment w:val="auto"/>
        <w:rPr>
          <w:rFonts w:hint="eastAsia" w:ascii="宋体" w:hAnsi="宋体" w:eastAsia="宋体" w:cs="宋体"/>
          <w:b/>
          <w:bCs/>
          <w:color w:val="auto"/>
          <w:sz w:val="22"/>
          <w:szCs w:val="22"/>
          <w:lang w:val="zh-CN" w:bidi="zh-CN"/>
        </w:rPr>
      </w:pPr>
      <w:r>
        <w:rPr>
          <w:rFonts w:hint="eastAsia" w:ascii="宋体" w:hAnsi="宋体" w:eastAsia="宋体" w:cs="宋体"/>
          <w:b/>
          <w:bCs/>
          <w:color w:val="auto"/>
          <w:sz w:val="22"/>
          <w:szCs w:val="22"/>
          <w:lang w:val="zh-CN" w:eastAsia="zh-CN" w:bidi="zh-CN"/>
        </w:rPr>
        <w:t>（</w:t>
      </w:r>
      <w:r>
        <w:rPr>
          <w:rFonts w:hint="eastAsia" w:ascii="宋体" w:hAnsi="宋体" w:eastAsia="宋体" w:cs="宋体"/>
          <w:b/>
          <w:bCs/>
          <w:color w:val="auto"/>
          <w:sz w:val="22"/>
          <w:szCs w:val="22"/>
          <w:lang w:val="en-US" w:eastAsia="zh-CN" w:bidi="zh-CN"/>
        </w:rPr>
        <w:t>二</w:t>
      </w:r>
      <w:r>
        <w:rPr>
          <w:rFonts w:hint="eastAsia" w:ascii="宋体" w:hAnsi="宋体" w:eastAsia="宋体" w:cs="宋体"/>
          <w:b/>
          <w:bCs/>
          <w:color w:val="auto"/>
          <w:sz w:val="22"/>
          <w:szCs w:val="22"/>
          <w:lang w:val="zh-CN" w:eastAsia="zh-CN" w:bidi="zh-CN"/>
        </w:rPr>
        <w:t>）</w:t>
      </w:r>
      <w:r>
        <w:rPr>
          <w:rFonts w:hint="eastAsia" w:ascii="宋体" w:hAnsi="宋体" w:eastAsia="宋体" w:cs="宋体"/>
          <w:b/>
          <w:bCs/>
          <w:color w:val="auto"/>
          <w:sz w:val="22"/>
          <w:szCs w:val="22"/>
          <w:lang w:val="zh-CN" w:bidi="zh-CN"/>
        </w:rPr>
        <w:t>成交供应商的确定、替补候选人的设定与使用</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lang w:val="zh-CN" w:bidi="zh-CN"/>
        </w:rPr>
      </w:pPr>
      <w:r>
        <w:rPr>
          <w:rFonts w:hint="eastAsia" w:ascii="宋体" w:hAnsi="宋体" w:eastAsia="宋体" w:cs="宋体"/>
          <w:color w:val="auto"/>
          <w:sz w:val="22"/>
          <w:szCs w:val="22"/>
          <w:lang w:val="zh-CN" w:bidi="zh-CN"/>
        </w:rPr>
        <w:t>1.评标小组依照</w:t>
      </w:r>
      <w:r>
        <w:rPr>
          <w:rFonts w:hint="eastAsia" w:ascii="宋体" w:hAnsi="宋体" w:eastAsia="宋体" w:cs="宋体"/>
          <w:color w:val="auto"/>
          <w:sz w:val="22"/>
          <w:szCs w:val="22"/>
          <w:lang w:val="en-US" w:eastAsia="zh-CN" w:bidi="zh-CN"/>
        </w:rPr>
        <w:t>中标</w:t>
      </w:r>
      <w:r>
        <w:rPr>
          <w:rFonts w:hint="eastAsia" w:ascii="宋体" w:hAnsi="宋体" w:eastAsia="宋体" w:cs="宋体"/>
          <w:color w:val="auto"/>
          <w:sz w:val="22"/>
          <w:szCs w:val="22"/>
          <w:lang w:val="zh-CN" w:bidi="zh-CN"/>
        </w:rPr>
        <w:t>候选人排序依规确定1名成交供应商。</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lang w:val="zh-CN" w:bidi="zh-CN"/>
        </w:rPr>
      </w:pPr>
      <w:r>
        <w:rPr>
          <w:rFonts w:hint="eastAsia" w:ascii="宋体" w:hAnsi="宋体" w:eastAsia="宋体" w:cs="宋体"/>
          <w:color w:val="auto"/>
          <w:sz w:val="22"/>
          <w:szCs w:val="22"/>
          <w:lang w:val="zh-CN" w:bidi="zh-CN"/>
        </w:rPr>
        <w:t>2.中标人因不可抗力或者自身原因不能履行采购合同的，采购人可以与排位在中标人之后第一位的中标候选人签订采购合同（以此类推，但中标资格只顺延给中标候选人），或者重新组织采购确定中标人。</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2" w:firstLineChars="200"/>
        <w:jc w:val="left"/>
        <w:textAlignment w:val="auto"/>
        <w:rPr>
          <w:rFonts w:hint="eastAsia" w:ascii="宋体" w:hAnsi="宋体" w:eastAsia="宋体" w:cs="宋体"/>
          <w:b/>
          <w:bCs/>
          <w:color w:val="auto"/>
          <w:sz w:val="22"/>
          <w:szCs w:val="22"/>
          <w:lang w:val="zh-CN" w:bidi="zh-CN"/>
        </w:rPr>
      </w:pPr>
      <w:r>
        <w:rPr>
          <w:rFonts w:hint="eastAsia" w:ascii="宋体" w:hAnsi="宋体" w:eastAsia="宋体" w:cs="宋体"/>
          <w:b/>
          <w:bCs/>
          <w:color w:val="auto"/>
          <w:sz w:val="22"/>
          <w:szCs w:val="22"/>
          <w:lang w:val="zh-CN" w:eastAsia="zh-CN" w:bidi="zh-CN"/>
        </w:rPr>
        <w:t>（</w:t>
      </w:r>
      <w:r>
        <w:rPr>
          <w:rFonts w:hint="eastAsia" w:ascii="宋体" w:hAnsi="宋体" w:eastAsia="宋体" w:cs="宋体"/>
          <w:b/>
          <w:bCs/>
          <w:color w:val="auto"/>
          <w:sz w:val="22"/>
          <w:szCs w:val="22"/>
          <w:lang w:val="en-US" w:eastAsia="zh-CN" w:bidi="zh-CN"/>
        </w:rPr>
        <w:t>三</w:t>
      </w:r>
      <w:r>
        <w:rPr>
          <w:rFonts w:hint="eastAsia" w:ascii="宋体" w:hAnsi="宋体" w:eastAsia="宋体" w:cs="宋体"/>
          <w:b/>
          <w:bCs/>
          <w:color w:val="auto"/>
          <w:sz w:val="22"/>
          <w:szCs w:val="22"/>
          <w:lang w:val="zh-CN" w:eastAsia="zh-CN" w:bidi="zh-CN"/>
        </w:rPr>
        <w:t>）</w:t>
      </w:r>
      <w:r>
        <w:rPr>
          <w:rFonts w:hint="eastAsia" w:ascii="宋体" w:hAnsi="宋体" w:eastAsia="宋体" w:cs="宋体"/>
          <w:b/>
          <w:bCs/>
          <w:color w:val="auto"/>
          <w:sz w:val="22"/>
          <w:szCs w:val="22"/>
          <w:lang w:val="zh-CN" w:bidi="zh-CN"/>
        </w:rPr>
        <w:t>中标签订合同</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lang w:val="zh-CN" w:bidi="zh-CN"/>
        </w:rPr>
      </w:pPr>
      <w:r>
        <w:rPr>
          <w:rFonts w:hint="eastAsia" w:ascii="宋体" w:hAnsi="宋体" w:eastAsia="宋体" w:cs="宋体"/>
          <w:color w:val="auto"/>
          <w:sz w:val="22"/>
          <w:szCs w:val="22"/>
          <w:lang w:val="zh-CN" w:bidi="zh-CN"/>
        </w:rPr>
        <w:t>1.成交结果公示</w:t>
      </w:r>
      <w:r>
        <w:rPr>
          <w:rFonts w:hint="eastAsia" w:ascii="宋体" w:hAnsi="宋体" w:eastAsia="宋体" w:cs="宋体"/>
          <w:color w:val="auto"/>
          <w:sz w:val="22"/>
          <w:szCs w:val="22"/>
          <w:lang w:val="en-US" w:eastAsia="zh-CN" w:bidi="zh-CN"/>
        </w:rPr>
        <w:t>1</w:t>
      </w:r>
      <w:r>
        <w:rPr>
          <w:rFonts w:hint="eastAsia" w:ascii="宋体" w:hAnsi="宋体" w:eastAsia="宋体" w:cs="宋体"/>
          <w:color w:val="auto"/>
          <w:sz w:val="22"/>
          <w:szCs w:val="22"/>
          <w:lang w:val="zh-CN" w:bidi="zh-CN"/>
        </w:rPr>
        <w:t>个工作日，公示期内无投标人提出异议的自动确定排名第一的投标单位为中标人。</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left="0" w:right="0" w:firstLine="440" w:firstLineChars="200"/>
        <w:jc w:val="left"/>
        <w:textAlignment w:val="auto"/>
        <w:rPr>
          <w:rFonts w:hint="eastAsia" w:ascii="宋体" w:hAnsi="宋体" w:eastAsia="宋体" w:cs="宋体"/>
          <w:color w:val="auto"/>
          <w:sz w:val="22"/>
          <w:szCs w:val="22"/>
          <w:lang w:val="zh-CN" w:bidi="zh-CN"/>
        </w:rPr>
      </w:pPr>
      <w:r>
        <w:rPr>
          <w:rFonts w:hint="eastAsia" w:ascii="宋体" w:hAnsi="宋体" w:eastAsia="宋体" w:cs="宋体"/>
          <w:color w:val="auto"/>
          <w:sz w:val="22"/>
          <w:szCs w:val="22"/>
          <w:lang w:val="zh-CN" w:bidi="zh-CN"/>
        </w:rPr>
        <w:t>2.中标公示结束后30日内签订采购合同，中标单位拒绝签订采购合同的，三年内不得参加本单位所有的采购项目。</w:t>
      </w:r>
    </w:p>
    <w:p>
      <w:pPr>
        <w:keepNext w:val="0"/>
        <w:keepLines w:val="0"/>
        <w:pageBreakBefore w:val="0"/>
        <w:widowControl w:val="0"/>
        <w:kinsoku/>
        <w:wordWrap/>
        <w:overflowPunct/>
        <w:topLinePunct w:val="0"/>
        <w:autoSpaceDE w:val="0"/>
        <w:autoSpaceDN w:val="0"/>
        <w:bidi w:val="0"/>
        <w:adjustRightInd/>
        <w:snapToGrid/>
        <w:spacing w:line="240" w:lineRule="auto"/>
        <w:ind w:firstLine="440" w:firstLineChars="200"/>
        <w:textAlignment w:val="auto"/>
        <w:rPr>
          <w:rFonts w:hint="eastAsia" w:ascii="宋体" w:hAnsi="宋体" w:eastAsia="宋体" w:cs="宋体"/>
          <w:sz w:val="22"/>
          <w:szCs w:val="22"/>
        </w:rPr>
      </w:pPr>
    </w:p>
    <w:p>
      <w:pPr>
        <w:pStyle w:val="2"/>
        <w:rPr>
          <w:rFonts w:hint="eastAsia"/>
        </w:rPr>
        <w:sectPr>
          <w:pgSz w:w="11906" w:h="16838"/>
          <w:pgMar w:top="1434" w:right="1474" w:bottom="1434" w:left="1474" w:header="851" w:footer="992" w:gutter="0"/>
          <w:pgNumType w:fmt="decimal"/>
          <w:cols w:space="425" w:num="1"/>
          <w:docGrid w:type="lines" w:linePitch="312" w:charSpace="0"/>
        </w:sectPr>
      </w:pPr>
    </w:p>
    <w:p>
      <w:pPr>
        <w:widowControl w:val="0"/>
        <w:spacing w:line="360" w:lineRule="auto"/>
        <w:ind w:firstLine="0" w:firstLineChars="0"/>
        <w:jc w:val="left"/>
        <w:rPr>
          <w:rFonts w:ascii="Calibri" w:hAnsi="Calibri" w:eastAsia="宋体" w:cs="Times New Roman"/>
          <w:b/>
          <w:color w:val="auto"/>
          <w:sz w:val="24"/>
          <w:highlight w:val="none"/>
          <w:lang w:val="en-US" w:eastAsia="zh-CN" w:bidi="ar-SA"/>
        </w:rPr>
      </w:pPr>
      <w:r>
        <w:rPr>
          <w:rFonts w:hint="eastAsia" w:ascii="Calibri" w:hAnsi="Calibri" w:eastAsia="宋体" w:cs="Times New Roman"/>
          <w:b/>
          <w:color w:val="auto"/>
          <w:sz w:val="24"/>
          <w:highlight w:val="none"/>
          <w:lang w:val="en-US" w:eastAsia="zh-CN" w:bidi="ar-SA"/>
        </w:rPr>
        <w:t>附表1：资格性、符合性审查表</w:t>
      </w:r>
    </w:p>
    <w:p>
      <w:pPr>
        <w:widowControl/>
        <w:autoSpaceDE/>
        <w:autoSpaceDN/>
        <w:spacing w:before="0" w:after="0" w:line="300" w:lineRule="exact"/>
        <w:ind w:left="0" w:right="0"/>
        <w:jc w:val="left"/>
        <w:rPr>
          <w:rFonts w:hint="eastAsia" w:ascii="宋体" w:hAnsi="宋体" w:cs="宋体"/>
          <w:color w:val="auto"/>
          <w:sz w:val="21"/>
          <w:szCs w:val="20"/>
          <w:highlight w:val="none"/>
          <w:lang w:val="en-US" w:eastAsia="zh-CN" w:bidi="ar-SA"/>
        </w:rPr>
      </w:pPr>
      <w:r>
        <w:rPr>
          <w:rFonts w:hint="eastAsia" w:ascii="宋体" w:hAnsi="宋体" w:cs="宋体"/>
          <w:color w:val="auto"/>
          <w:sz w:val="21"/>
          <w:szCs w:val="20"/>
          <w:highlight w:val="none"/>
          <w:lang w:val="en-US" w:bidi="ar-SA"/>
        </w:rPr>
        <w:t>项目名称：</w:t>
      </w:r>
      <w:r>
        <w:rPr>
          <w:rFonts w:hint="eastAsia" w:ascii="宋体" w:hAnsi="宋体" w:cs="宋体"/>
          <w:color w:val="auto"/>
          <w:sz w:val="21"/>
          <w:szCs w:val="20"/>
          <w:highlight w:val="none"/>
          <w:lang w:val="en-US" w:eastAsia="zh-CN" w:bidi="ar-SA"/>
        </w:rPr>
        <w:t>珠海市香洲区第二人民医院</w:t>
      </w:r>
      <w:r>
        <w:rPr>
          <w:rFonts w:hint="eastAsia" w:cs="宋体"/>
          <w:color w:val="auto"/>
          <w:sz w:val="21"/>
          <w:szCs w:val="20"/>
          <w:highlight w:val="none"/>
          <w:lang w:val="en-US" w:eastAsia="zh-CN" w:bidi="ar-SA"/>
        </w:rPr>
        <w:t>直饮水机租赁</w:t>
      </w:r>
      <w:r>
        <w:rPr>
          <w:rFonts w:hint="eastAsia" w:ascii="宋体" w:hAnsi="宋体" w:cs="宋体"/>
          <w:color w:val="auto"/>
          <w:sz w:val="21"/>
          <w:szCs w:val="20"/>
          <w:highlight w:val="none"/>
          <w:lang w:val="en-US" w:eastAsia="zh-CN" w:bidi="ar-SA"/>
        </w:rPr>
        <w:t>服务采购项目</w:t>
      </w:r>
    </w:p>
    <w:p>
      <w:pPr>
        <w:widowControl/>
        <w:autoSpaceDE/>
        <w:autoSpaceDN/>
        <w:spacing w:before="0" w:after="0" w:line="300" w:lineRule="exact"/>
        <w:ind w:left="0" w:right="0"/>
        <w:jc w:val="left"/>
        <w:rPr>
          <w:rFonts w:hint="default" w:ascii="宋体" w:hAnsi="宋体" w:eastAsia="宋体" w:cs="宋体"/>
          <w:color w:val="auto"/>
          <w:sz w:val="21"/>
          <w:szCs w:val="20"/>
          <w:highlight w:val="none"/>
          <w:lang w:val="en-US" w:eastAsia="zh-CN" w:bidi="ar-SA"/>
        </w:rPr>
      </w:pPr>
      <w:r>
        <w:rPr>
          <w:rFonts w:hint="eastAsia" w:ascii="宋体" w:hAnsi="宋体" w:cs="宋体"/>
          <w:color w:val="auto"/>
          <w:sz w:val="21"/>
          <w:szCs w:val="20"/>
          <w:highlight w:val="none"/>
          <w:lang w:val="en-US" w:bidi="ar-SA"/>
        </w:rPr>
        <w:t>采购编号：HQCG20</w:t>
      </w:r>
      <w:r>
        <w:rPr>
          <w:rFonts w:hint="eastAsia" w:cs="宋体"/>
          <w:color w:val="auto"/>
          <w:sz w:val="21"/>
          <w:szCs w:val="20"/>
          <w:highlight w:val="none"/>
          <w:lang w:val="en-US" w:eastAsia="zh-CN" w:bidi="ar-SA"/>
        </w:rPr>
        <w:t>26004</w:t>
      </w:r>
    </w:p>
    <w:tbl>
      <w:tblPr>
        <w:tblStyle w:val="19"/>
        <w:tblW w:w="926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57" w:type="dxa"/>
          <w:bottom w:w="57" w:type="dxa"/>
          <w:right w:w="57" w:type="dxa"/>
        </w:tblCellMar>
      </w:tblPr>
      <w:tblGrid>
        <w:gridCol w:w="619"/>
        <w:gridCol w:w="6119"/>
        <w:gridCol w:w="906"/>
        <w:gridCol w:w="938"/>
        <w:gridCol w:w="67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323"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序号</w:t>
            </w:r>
          </w:p>
        </w:tc>
        <w:tc>
          <w:tcPr>
            <w:tcW w:w="6119" w:type="dxa"/>
            <w:tcBorders>
              <w:left w:val="single" w:color="auto" w:sz="4" w:space="0"/>
            </w:tcBorders>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审查内容</w:t>
            </w:r>
          </w:p>
        </w:tc>
        <w:tc>
          <w:tcPr>
            <w:tcW w:w="906" w:type="dxa"/>
            <w:tcMar>
              <w:top w:w="57" w:type="dxa"/>
              <w:left w:w="57" w:type="dxa"/>
              <w:bottom w:w="57" w:type="dxa"/>
              <w:right w:w="57" w:type="dxa"/>
            </w:tcMar>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投标人1</w:t>
            </w:r>
          </w:p>
        </w:tc>
        <w:tc>
          <w:tcPr>
            <w:tcW w:w="938" w:type="dxa"/>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投标人2</w:t>
            </w:r>
          </w:p>
        </w:tc>
        <w:tc>
          <w:tcPr>
            <w:tcW w:w="678" w:type="dxa"/>
            <w:tcMar>
              <w:top w:w="57" w:type="dxa"/>
              <w:left w:w="57" w:type="dxa"/>
              <w:bottom w:w="57" w:type="dxa"/>
              <w:right w:w="57" w:type="dxa"/>
            </w:tcMar>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3248"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bookmarkStart w:id="3" w:name="OLE_LINK1" w:colFirst="0" w:colLast="1"/>
            <w:r>
              <w:rPr>
                <w:rFonts w:hint="eastAsia" w:ascii="宋体" w:hAnsi="宋体" w:cs="宋体"/>
                <w:color w:val="auto"/>
                <w:sz w:val="20"/>
                <w:szCs w:val="20"/>
                <w:highlight w:val="none"/>
                <w:lang w:val="en-US" w:bidi="ar-SA"/>
              </w:rPr>
              <w:t>1</w:t>
            </w:r>
          </w:p>
        </w:tc>
        <w:tc>
          <w:tcPr>
            <w:tcW w:w="6119" w:type="dxa"/>
            <w:tcBorders>
              <w:left w:val="single" w:color="auto" w:sz="4" w:space="0"/>
            </w:tcBorders>
            <w:vAlign w:val="center"/>
          </w:tcPr>
          <w:p>
            <w:pPr>
              <w:widowControl/>
              <w:autoSpaceDE/>
              <w:autoSpaceDN/>
              <w:spacing w:before="0" w:after="0" w:line="240" w:lineRule="exact"/>
              <w:ind w:left="0" w:right="0"/>
              <w:jc w:val="left"/>
              <w:rPr>
                <w:rFonts w:hint="eastAsia"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符合《中华人民共和国政府采购法》第二十二条规定的条件。</w:t>
            </w:r>
          </w:p>
          <w:p>
            <w:pPr>
              <w:widowControl/>
              <w:autoSpaceDE/>
              <w:autoSpaceDN/>
              <w:spacing w:before="0" w:after="0" w:line="240" w:lineRule="exact"/>
              <w:ind w:left="0" w:right="0"/>
              <w:jc w:val="left"/>
              <w:rPr>
                <w:rFonts w:hint="eastAsia"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1）具有独立承担民事责任的能力：在中华人民共和国境内注册的法人或其他组织或自然人，投标（响应）时提交有效的营业执照（或事业法人登记证或身份证等相关证明）复印件。分支机构投标的，须提供总公司和分公司营业执照复印件，总公司出具给分支机构的授权书。</w:t>
            </w:r>
          </w:p>
          <w:p>
            <w:pPr>
              <w:widowControl/>
              <w:autoSpaceDE/>
              <w:autoSpaceDN/>
              <w:spacing w:before="0" w:after="0" w:line="240" w:lineRule="exact"/>
              <w:ind w:left="0" w:right="0"/>
              <w:jc w:val="left"/>
              <w:rPr>
                <w:rFonts w:hint="eastAsia"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（2）有依法缴纳税收和社会保障资金的良好记录：提供《投标人资格声明函》。</w:t>
            </w:r>
          </w:p>
          <w:p>
            <w:pPr>
              <w:widowControl/>
              <w:autoSpaceDE/>
              <w:autoSpaceDN/>
              <w:spacing w:before="0" w:after="0" w:line="240" w:lineRule="exact"/>
              <w:ind w:left="0" w:right="0"/>
              <w:jc w:val="left"/>
              <w:rPr>
                <w:rFonts w:hint="eastAsia"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（3）具有良好的商业信誉和健全的财务会计制度：提供《投标人资格声明函》。</w:t>
            </w:r>
          </w:p>
          <w:p>
            <w:pPr>
              <w:widowControl/>
              <w:autoSpaceDE/>
              <w:autoSpaceDN/>
              <w:spacing w:before="0" w:after="0" w:line="240" w:lineRule="exact"/>
              <w:ind w:left="0" w:right="0"/>
              <w:jc w:val="left"/>
              <w:rPr>
                <w:rFonts w:hint="eastAsia"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（4）履行合同所必需的设备和专业技术能力：提供《投标人资格声明函》。</w:t>
            </w:r>
          </w:p>
          <w:p>
            <w:pPr>
              <w:widowControl/>
              <w:autoSpaceDE/>
              <w:autoSpaceDN/>
              <w:spacing w:before="0" w:after="0" w:line="240" w:lineRule="exact"/>
              <w:ind w:left="0" w:right="0"/>
              <w:jc w:val="left"/>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（5）参加采购活动前3年内，在经营活动中没有重大违法记录：提供《投标人资格声明函》。</w:t>
            </w:r>
          </w:p>
        </w:tc>
        <w:tc>
          <w:tcPr>
            <w:tcW w:w="906" w:type="dxa"/>
            <w:tcMar>
              <w:top w:w="57" w:type="dxa"/>
              <w:left w:w="57" w:type="dxa"/>
              <w:bottom w:w="57" w:type="dxa"/>
              <w:right w:w="57" w:type="dxa"/>
            </w:tcMar>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2</w:t>
            </w:r>
          </w:p>
        </w:tc>
        <w:tc>
          <w:tcPr>
            <w:tcW w:w="6119" w:type="dxa"/>
            <w:tcBorders>
              <w:left w:val="single" w:color="auto" w:sz="4" w:space="0"/>
            </w:tcBorders>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本项目专门面向中小企业采购，供应商应为中小微企业、监狱企业、残疾人福利性单位。（提供《中小企业声明函》或属于监狱企业的证明材料或《残疾人福利性单位声明函》）</w:t>
            </w:r>
          </w:p>
        </w:tc>
        <w:tc>
          <w:tcPr>
            <w:tcW w:w="906" w:type="dxa"/>
            <w:tcMar>
              <w:top w:w="57" w:type="dxa"/>
              <w:left w:w="57" w:type="dxa"/>
              <w:bottom w:w="57" w:type="dxa"/>
              <w:right w:w="57" w:type="dxa"/>
            </w:tcMar>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1969"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3</w:t>
            </w:r>
          </w:p>
        </w:tc>
        <w:tc>
          <w:tcPr>
            <w:tcW w:w="6119" w:type="dxa"/>
            <w:tcBorders>
              <w:left w:val="single" w:color="auto" w:sz="4" w:space="0"/>
            </w:tcBorders>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供应商未列入“信用中国”网站(www.creditchina.gov.cn)“记录失信被执行人或重大税收违法案件当事人名单或政府采购严重违法失信行为”的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906" w:type="dxa"/>
            <w:tcMar>
              <w:top w:w="57" w:type="dxa"/>
              <w:left w:w="57" w:type="dxa"/>
              <w:bottom w:w="57" w:type="dxa"/>
              <w:right w:w="57" w:type="dxa"/>
            </w:tcMar>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20" w:lineRule="exact"/>
              <w:ind w:left="0" w:right="0"/>
              <w:jc w:val="center"/>
              <w:rPr>
                <w:rFonts w:ascii="宋体" w:hAnsi="宋体" w:cs="宋体"/>
                <w:color w:val="auto"/>
                <w:sz w:val="20"/>
                <w:szCs w:val="20"/>
                <w:highlight w:val="none"/>
                <w:lang w:val="en-US" w:bidi="ar-SA"/>
              </w:rPr>
            </w:pPr>
            <w:r>
              <w:rPr>
                <w:rFonts w:ascii="宋体" w:hAnsi="宋体" w:cs="宋体"/>
                <w:color w:val="auto"/>
                <w:sz w:val="20"/>
                <w:szCs w:val="20"/>
                <w:highlight w:val="none"/>
                <w:lang w:val="en-US" w:bidi="ar-SA"/>
              </w:rPr>
              <w:t>4</w:t>
            </w:r>
          </w:p>
        </w:tc>
        <w:tc>
          <w:tcPr>
            <w:tcW w:w="6119" w:type="dxa"/>
            <w:tcBorders>
              <w:left w:val="single" w:color="auto" w:sz="4" w:space="0"/>
            </w:tcBorders>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单位负责人为同一人或者存在直接控股、管理关系的不同供应商，不得同时参加本采购项目投标（响应）。为本项目提供整体设计、规范编制或者项目管理、监理、检测等服务的供应商，不得再参与本项目投标（响应）：提供《投标人资格声明函》。</w:t>
            </w:r>
          </w:p>
        </w:tc>
        <w:tc>
          <w:tcPr>
            <w:tcW w:w="906" w:type="dxa"/>
            <w:tcMar>
              <w:top w:w="57" w:type="dxa"/>
              <w:left w:w="57" w:type="dxa"/>
              <w:bottom w:w="57" w:type="dxa"/>
              <w:right w:w="57" w:type="dxa"/>
            </w:tcMar>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40" w:lineRule="exact"/>
              <w:ind w:left="0" w:right="0"/>
              <w:jc w:val="left"/>
              <w:rPr>
                <w:rFonts w:ascii="宋体" w:hAnsi="宋体" w:cs="宋体"/>
                <w:color w:val="auto"/>
                <w:sz w:val="20"/>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544"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20" w:lineRule="exact"/>
              <w:ind w:left="0" w:right="0"/>
              <w:jc w:val="center"/>
              <w:rPr>
                <w:rFonts w:hint="eastAsia" w:ascii="宋体" w:hAnsi="宋体" w:eastAsia="宋体" w:cs="宋体"/>
                <w:color w:val="auto"/>
                <w:sz w:val="20"/>
                <w:szCs w:val="20"/>
                <w:highlight w:val="none"/>
                <w:lang w:val="en-US" w:eastAsia="zh-CN" w:bidi="ar-SA"/>
              </w:rPr>
            </w:pPr>
            <w:r>
              <w:rPr>
                <w:rFonts w:hint="eastAsia" w:cs="宋体"/>
                <w:color w:val="auto"/>
                <w:sz w:val="20"/>
                <w:szCs w:val="20"/>
                <w:highlight w:val="none"/>
                <w:lang w:val="en-US" w:eastAsia="zh-CN" w:bidi="ar-SA"/>
              </w:rPr>
              <w:t>5</w:t>
            </w:r>
          </w:p>
        </w:tc>
        <w:tc>
          <w:tcPr>
            <w:tcW w:w="6119" w:type="dxa"/>
            <w:tcBorders>
              <w:left w:val="single" w:color="auto" w:sz="4" w:space="0"/>
            </w:tcBorders>
            <w:vAlign w:val="center"/>
          </w:tcPr>
          <w:p>
            <w:pPr>
              <w:widowControl/>
              <w:autoSpaceDE/>
              <w:autoSpaceDN/>
              <w:spacing w:before="0" w:after="0" w:line="240" w:lineRule="exact"/>
              <w:ind w:left="0" w:right="0"/>
              <w:jc w:val="left"/>
              <w:rPr>
                <w:rFonts w:hint="eastAsia" w:ascii="宋体" w:hAnsi="宋体" w:eastAsia="宋体" w:cs="宋体"/>
                <w:color w:val="auto"/>
                <w:sz w:val="20"/>
                <w:szCs w:val="20"/>
                <w:highlight w:val="none"/>
                <w:lang w:val="en-US" w:eastAsia="zh-CN" w:bidi="ar-SA"/>
              </w:rPr>
            </w:pPr>
            <w:r>
              <w:rPr>
                <w:rFonts w:hint="eastAsia" w:ascii="宋体" w:hAnsi="宋体" w:cs="宋体"/>
                <w:color w:val="auto"/>
                <w:sz w:val="20"/>
                <w:szCs w:val="20"/>
                <w:highlight w:val="none"/>
                <w:lang w:val="en-US" w:bidi="ar-SA"/>
              </w:rPr>
              <w:t>按照招标文件规定要求签署、盖章且投标文件有法定代表人签字或盖个人名章（或签字人有法定代表人有效授权书）的</w:t>
            </w:r>
            <w:r>
              <w:rPr>
                <w:rFonts w:hint="eastAsia" w:cs="宋体"/>
                <w:color w:val="auto"/>
                <w:sz w:val="20"/>
                <w:szCs w:val="20"/>
                <w:highlight w:val="none"/>
                <w:lang w:val="en-US" w:eastAsia="zh-CN" w:bidi="ar-SA"/>
              </w:rPr>
              <w:t>。</w:t>
            </w:r>
          </w:p>
        </w:tc>
        <w:tc>
          <w:tcPr>
            <w:tcW w:w="906"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60"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20" w:lineRule="exact"/>
              <w:ind w:left="0" w:right="0"/>
              <w:jc w:val="center"/>
              <w:rPr>
                <w:rFonts w:hint="default" w:cs="宋体"/>
                <w:color w:val="auto"/>
                <w:sz w:val="20"/>
                <w:szCs w:val="20"/>
                <w:highlight w:val="none"/>
                <w:lang w:val="en-US" w:eastAsia="zh-CN" w:bidi="ar-SA"/>
              </w:rPr>
            </w:pPr>
            <w:r>
              <w:rPr>
                <w:rFonts w:hint="eastAsia" w:cs="宋体"/>
                <w:color w:val="auto"/>
                <w:sz w:val="20"/>
                <w:szCs w:val="20"/>
                <w:highlight w:val="none"/>
                <w:lang w:val="en-US" w:eastAsia="zh-CN" w:bidi="ar-SA"/>
              </w:rPr>
              <w:t>6</w:t>
            </w:r>
          </w:p>
        </w:tc>
        <w:tc>
          <w:tcPr>
            <w:tcW w:w="6119" w:type="dxa"/>
            <w:tcBorders>
              <w:left w:val="single" w:color="auto" w:sz="4" w:space="0"/>
            </w:tcBorders>
            <w:vAlign w:val="center"/>
          </w:tcPr>
          <w:p>
            <w:pPr>
              <w:widowControl/>
              <w:autoSpaceDE/>
              <w:autoSpaceDN/>
              <w:spacing w:before="0" w:after="0" w:line="240" w:lineRule="exact"/>
              <w:ind w:left="0" w:right="0"/>
              <w:jc w:val="left"/>
              <w:rPr>
                <w:rFonts w:hint="eastAsia"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投标文件完全响应招标文件的实质性条款（即标注★号条款）无负偏离。</w:t>
            </w:r>
          </w:p>
        </w:tc>
        <w:tc>
          <w:tcPr>
            <w:tcW w:w="906"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60"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20" w:lineRule="exact"/>
              <w:ind w:left="0" w:right="0"/>
              <w:jc w:val="center"/>
              <w:rPr>
                <w:rFonts w:hint="eastAsia" w:ascii="宋体" w:hAnsi="宋体" w:eastAsia="宋体" w:cs="宋体"/>
                <w:color w:val="auto"/>
                <w:sz w:val="20"/>
                <w:szCs w:val="20"/>
                <w:highlight w:val="none"/>
                <w:lang w:val="en-US" w:eastAsia="zh-CN" w:bidi="ar-SA"/>
              </w:rPr>
            </w:pPr>
            <w:r>
              <w:rPr>
                <w:rFonts w:hint="eastAsia" w:cs="宋体"/>
                <w:color w:val="auto"/>
                <w:sz w:val="20"/>
                <w:szCs w:val="20"/>
                <w:highlight w:val="none"/>
                <w:lang w:val="en-US" w:eastAsia="zh-CN" w:bidi="ar-SA"/>
              </w:rPr>
              <w:t>7</w:t>
            </w:r>
          </w:p>
        </w:tc>
        <w:tc>
          <w:tcPr>
            <w:tcW w:w="6119" w:type="dxa"/>
            <w:tcBorders>
              <w:left w:val="single" w:color="auto" w:sz="4" w:space="0"/>
            </w:tcBorders>
            <w:vAlign w:val="center"/>
          </w:tcPr>
          <w:p>
            <w:pPr>
              <w:widowControl/>
              <w:autoSpaceDE/>
              <w:autoSpaceDN/>
              <w:spacing w:before="0" w:after="0" w:line="240" w:lineRule="exact"/>
              <w:ind w:left="0" w:right="0"/>
              <w:jc w:val="left"/>
              <w:rPr>
                <w:rFonts w:hint="eastAsia" w:ascii="宋体" w:hAnsi="宋体" w:eastAsia="宋体" w:cs="宋体"/>
                <w:color w:val="auto"/>
                <w:sz w:val="20"/>
                <w:szCs w:val="20"/>
                <w:highlight w:val="none"/>
                <w:lang w:val="en-US" w:eastAsia="zh-CN" w:bidi="ar-SA"/>
              </w:rPr>
            </w:pPr>
            <w:r>
              <w:rPr>
                <w:rFonts w:hint="eastAsia" w:ascii="宋体" w:hAnsi="宋体" w:cs="宋体"/>
                <w:color w:val="auto"/>
                <w:sz w:val="20"/>
                <w:szCs w:val="20"/>
                <w:highlight w:val="none"/>
                <w:lang w:val="en-US" w:bidi="ar-SA"/>
              </w:rPr>
              <w:t>投标报价未超过本项目最高限价的</w:t>
            </w:r>
            <w:r>
              <w:rPr>
                <w:rFonts w:hint="eastAsia" w:cs="宋体"/>
                <w:color w:val="auto"/>
                <w:sz w:val="20"/>
                <w:szCs w:val="20"/>
                <w:highlight w:val="none"/>
                <w:lang w:val="en-US" w:eastAsia="zh-CN" w:bidi="ar-SA"/>
              </w:rPr>
              <w:t>。</w:t>
            </w:r>
          </w:p>
        </w:tc>
        <w:tc>
          <w:tcPr>
            <w:tcW w:w="906"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26" w:hRule="atLeast"/>
          <w:jc w:val="center"/>
        </w:trPr>
        <w:tc>
          <w:tcPr>
            <w:tcW w:w="619"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right="0"/>
              <w:jc w:val="center"/>
              <w:rPr>
                <w:rFonts w:hint="eastAsia" w:ascii="宋体" w:hAnsi="宋体" w:eastAsia="宋体" w:cs="宋体"/>
                <w:color w:val="auto"/>
                <w:sz w:val="20"/>
                <w:szCs w:val="20"/>
                <w:highlight w:val="none"/>
                <w:lang w:val="en-US" w:eastAsia="zh-CN" w:bidi="ar-SA"/>
              </w:rPr>
            </w:pPr>
            <w:r>
              <w:rPr>
                <w:rFonts w:hint="eastAsia" w:cs="宋体"/>
                <w:color w:val="auto"/>
                <w:sz w:val="20"/>
                <w:szCs w:val="20"/>
                <w:highlight w:val="none"/>
                <w:lang w:val="en-US" w:eastAsia="zh-CN" w:bidi="ar-SA"/>
              </w:rPr>
              <w:t>8</w:t>
            </w:r>
          </w:p>
        </w:tc>
        <w:tc>
          <w:tcPr>
            <w:tcW w:w="6119" w:type="dxa"/>
            <w:tcBorders>
              <w:left w:val="single" w:color="auto" w:sz="4" w:space="0"/>
            </w:tcBorders>
            <w:vAlign w:val="center"/>
          </w:tcPr>
          <w:p>
            <w:pPr>
              <w:widowControl/>
              <w:autoSpaceDE/>
              <w:autoSpaceDN/>
              <w:spacing w:before="0" w:after="0" w:line="240" w:lineRule="exact"/>
              <w:ind w:left="0" w:right="0"/>
              <w:jc w:val="left"/>
              <w:rPr>
                <w:rFonts w:hint="eastAsia" w:ascii="宋体" w:hAnsi="宋体" w:eastAsia="宋体" w:cs="宋体"/>
                <w:color w:val="auto"/>
                <w:sz w:val="20"/>
                <w:szCs w:val="20"/>
                <w:highlight w:val="none"/>
                <w:lang w:val="en-US" w:eastAsia="zh-CN" w:bidi="ar-SA"/>
              </w:rPr>
            </w:pPr>
            <w:r>
              <w:rPr>
                <w:rFonts w:hint="eastAsia" w:ascii="宋体" w:hAnsi="宋体" w:eastAsia="宋体" w:cs="宋体"/>
                <w:color w:val="auto"/>
                <w:sz w:val="20"/>
                <w:szCs w:val="20"/>
                <w:highlight w:val="none"/>
                <w:lang w:val="en-US" w:bidi="ar-SA"/>
              </w:rPr>
              <w:t>投标文件未出现选择性报价或有附加条件报价的情形</w:t>
            </w:r>
            <w:r>
              <w:rPr>
                <w:rFonts w:hint="eastAsia" w:ascii="宋体" w:hAnsi="宋体" w:eastAsia="宋体" w:cs="宋体"/>
                <w:color w:val="auto"/>
                <w:sz w:val="20"/>
                <w:szCs w:val="20"/>
                <w:highlight w:val="none"/>
                <w:lang w:val="en-US" w:eastAsia="zh-CN" w:bidi="ar-SA"/>
              </w:rPr>
              <w:t>。</w:t>
            </w:r>
          </w:p>
        </w:tc>
        <w:tc>
          <w:tcPr>
            <w:tcW w:w="906"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r>
      <w:bookmarkEnd w:id="3"/>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188" w:hRule="atLeast"/>
          <w:jc w:val="center"/>
        </w:trPr>
        <w:tc>
          <w:tcPr>
            <w:tcW w:w="6738" w:type="dxa"/>
            <w:gridSpan w:val="2"/>
            <w:tcMar>
              <w:top w:w="57" w:type="dxa"/>
              <w:left w:w="57" w:type="dxa"/>
              <w:bottom w:w="57" w:type="dxa"/>
              <w:right w:w="57" w:type="dxa"/>
            </w:tcMar>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结论</w:t>
            </w:r>
          </w:p>
        </w:tc>
        <w:tc>
          <w:tcPr>
            <w:tcW w:w="906"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jc w:val="center"/>
        </w:trPr>
        <w:tc>
          <w:tcPr>
            <w:tcW w:w="6738" w:type="dxa"/>
            <w:gridSpan w:val="2"/>
            <w:tcMar>
              <w:top w:w="57" w:type="dxa"/>
              <w:left w:w="57" w:type="dxa"/>
              <w:bottom w:w="57" w:type="dxa"/>
              <w:right w:w="57" w:type="dxa"/>
            </w:tcMar>
            <w:vAlign w:val="center"/>
          </w:tcPr>
          <w:p>
            <w:pPr>
              <w:widowControl/>
              <w:autoSpaceDE/>
              <w:autoSpaceDN/>
              <w:spacing w:before="0" w:after="0" w:line="240" w:lineRule="exact"/>
              <w:ind w:left="0" w:right="0"/>
              <w:jc w:val="center"/>
              <w:rPr>
                <w:rFonts w:ascii="宋体" w:hAnsi="宋体" w:cs="宋体"/>
                <w:color w:val="auto"/>
                <w:sz w:val="20"/>
                <w:szCs w:val="20"/>
                <w:highlight w:val="none"/>
                <w:lang w:val="en-US" w:bidi="ar-SA"/>
              </w:rPr>
            </w:pPr>
            <w:r>
              <w:rPr>
                <w:rFonts w:hint="eastAsia" w:ascii="宋体" w:hAnsi="宋体" w:cs="宋体"/>
                <w:color w:val="auto"/>
                <w:sz w:val="20"/>
                <w:szCs w:val="20"/>
                <w:highlight w:val="none"/>
                <w:lang w:val="en-US" w:bidi="ar-SA"/>
              </w:rPr>
              <w:t>不通过原因说明</w:t>
            </w:r>
          </w:p>
        </w:tc>
        <w:tc>
          <w:tcPr>
            <w:tcW w:w="906"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938" w:type="dxa"/>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c>
          <w:tcPr>
            <w:tcW w:w="678" w:type="dxa"/>
            <w:tcMar>
              <w:top w:w="57" w:type="dxa"/>
              <w:left w:w="57" w:type="dxa"/>
              <w:bottom w:w="57" w:type="dxa"/>
              <w:right w:w="57" w:type="dxa"/>
            </w:tcMar>
            <w:vAlign w:val="center"/>
          </w:tcPr>
          <w:p>
            <w:pPr>
              <w:widowControl/>
              <w:autoSpaceDE/>
              <w:autoSpaceDN/>
              <w:spacing w:before="0" w:after="0" w:line="220" w:lineRule="exact"/>
              <w:ind w:left="0" w:right="0"/>
              <w:jc w:val="left"/>
              <w:rPr>
                <w:rFonts w:ascii="宋体" w:hAnsi="宋体" w:cs="宋体"/>
                <w:color w:val="auto"/>
                <w:sz w:val="20"/>
                <w:szCs w:val="20"/>
                <w:highlight w:val="none"/>
                <w:lang w:val="en-US" w:bidi="ar-SA"/>
              </w:rPr>
            </w:pPr>
          </w:p>
        </w:tc>
      </w:tr>
    </w:tbl>
    <w:p>
      <w:pPr>
        <w:widowControl/>
        <w:autoSpaceDE/>
        <w:autoSpaceDN/>
        <w:spacing w:before="0" w:after="0" w:line="240" w:lineRule="auto"/>
        <w:ind w:left="0" w:right="0"/>
        <w:jc w:val="left"/>
        <w:rPr>
          <w:rFonts w:ascii="宋体" w:hAnsi="宋体" w:cs="宋体"/>
          <w:color w:val="auto"/>
          <w:sz w:val="20"/>
          <w:szCs w:val="18"/>
          <w:highlight w:val="none"/>
          <w:lang w:val="en-US" w:bidi="ar-SA"/>
        </w:rPr>
      </w:pPr>
      <w:r>
        <w:rPr>
          <w:rFonts w:hint="eastAsia" w:ascii="宋体" w:hAnsi="宋体" w:cs="宋体"/>
          <w:color w:val="auto"/>
          <w:sz w:val="20"/>
          <w:szCs w:val="18"/>
          <w:highlight w:val="none"/>
          <w:lang w:val="en-US" w:bidi="ar-SA"/>
        </w:rPr>
        <w:t>备注：</w:t>
      </w:r>
    </w:p>
    <w:p>
      <w:pPr>
        <w:widowControl/>
        <w:autoSpaceDE/>
        <w:autoSpaceDN/>
        <w:spacing w:before="0" w:after="0" w:line="240" w:lineRule="auto"/>
        <w:ind w:left="0" w:right="0"/>
        <w:jc w:val="left"/>
        <w:rPr>
          <w:rFonts w:ascii="宋体" w:hAnsi="宋体" w:cs="宋体"/>
          <w:color w:val="auto"/>
          <w:sz w:val="20"/>
          <w:szCs w:val="18"/>
          <w:highlight w:val="none"/>
          <w:lang w:val="en-US" w:bidi="ar-SA"/>
        </w:rPr>
      </w:pPr>
      <w:r>
        <w:rPr>
          <w:rFonts w:hint="eastAsia" w:ascii="宋体" w:hAnsi="宋体" w:cs="宋体"/>
          <w:color w:val="auto"/>
          <w:sz w:val="20"/>
          <w:szCs w:val="18"/>
          <w:highlight w:val="none"/>
          <w:lang w:val="en-US" w:bidi="ar-SA"/>
        </w:rPr>
        <w:t>1．评审时评委对投标人是否满足要求逐条标注评审意见，“是”标记为“○”，“否”标记为“×”；</w:t>
      </w:r>
    </w:p>
    <w:p>
      <w:pPr>
        <w:widowControl/>
        <w:autoSpaceDE/>
        <w:autoSpaceDN/>
        <w:spacing w:before="0" w:after="0" w:line="240" w:lineRule="auto"/>
        <w:ind w:left="0" w:right="0"/>
        <w:jc w:val="left"/>
        <w:rPr>
          <w:rFonts w:ascii="宋体" w:hAnsi="宋体" w:cs="宋体"/>
          <w:color w:val="auto"/>
          <w:sz w:val="20"/>
          <w:szCs w:val="18"/>
          <w:highlight w:val="none"/>
          <w:lang w:val="en-US" w:bidi="ar-SA"/>
        </w:rPr>
      </w:pPr>
      <w:r>
        <w:rPr>
          <w:rFonts w:hint="eastAsia" w:ascii="宋体" w:hAnsi="宋体" w:cs="宋体"/>
          <w:color w:val="auto"/>
          <w:sz w:val="20"/>
          <w:szCs w:val="18"/>
          <w:highlight w:val="none"/>
          <w:lang w:val="en-US" w:bidi="ar-SA"/>
        </w:rPr>
        <w:t>2．评审结论栏统一填写为“通过”或“不通过”，出现一个“×”为“不通过”；</w:t>
      </w:r>
    </w:p>
    <w:p>
      <w:pPr>
        <w:widowControl/>
        <w:autoSpaceDE/>
        <w:autoSpaceDN/>
        <w:spacing w:before="0" w:after="0" w:line="240" w:lineRule="auto"/>
        <w:ind w:left="0" w:right="0"/>
        <w:jc w:val="left"/>
        <w:rPr>
          <w:rFonts w:hint="eastAsia" w:ascii="Times New Roman" w:hAnsi="Times New Roman" w:cs="Times New Roman"/>
          <w:color w:val="auto"/>
          <w:sz w:val="21"/>
          <w:szCs w:val="20"/>
          <w:highlight w:val="none"/>
          <w:lang w:val="en-US" w:bidi="ar-SA"/>
        </w:rPr>
      </w:pPr>
      <w:r>
        <w:rPr>
          <w:rFonts w:hint="eastAsia" w:ascii="宋体" w:hAnsi="宋体" w:cs="宋体"/>
          <w:color w:val="auto"/>
          <w:sz w:val="20"/>
          <w:szCs w:val="18"/>
          <w:highlight w:val="none"/>
          <w:lang w:val="en-US" w:bidi="ar-SA"/>
        </w:rPr>
        <w:t>3．对结论为“不通过”的投标，要说明原因。</w:t>
      </w:r>
    </w:p>
    <w:p>
      <w:pPr>
        <w:widowControl/>
        <w:autoSpaceDE/>
        <w:autoSpaceDN/>
        <w:spacing w:before="0" w:after="0" w:line="240" w:lineRule="auto"/>
        <w:ind w:left="0" w:right="0"/>
        <w:jc w:val="left"/>
        <w:rPr>
          <w:rFonts w:hint="eastAsia" w:ascii="宋体" w:hAnsi="宋体" w:cs="宋体"/>
          <w:color w:val="auto"/>
          <w:sz w:val="20"/>
          <w:szCs w:val="18"/>
          <w:highlight w:val="none"/>
          <w:lang w:val="en-US" w:bidi="ar-SA"/>
        </w:rPr>
      </w:pPr>
      <w:r>
        <w:rPr>
          <w:rFonts w:hint="eastAsia" w:ascii="宋体" w:hAnsi="宋体" w:cs="宋体"/>
          <w:color w:val="auto"/>
          <w:sz w:val="20"/>
          <w:szCs w:val="18"/>
          <w:highlight w:val="none"/>
          <w:lang w:val="en-US" w:bidi="ar-SA"/>
        </w:rPr>
        <w:t>评委签名：</w:t>
      </w:r>
      <w:r>
        <w:rPr>
          <w:rFonts w:hint="eastAsia" w:ascii="宋体" w:hAnsi="宋体" w:cs="宋体"/>
          <w:color w:val="auto"/>
          <w:sz w:val="20"/>
          <w:szCs w:val="18"/>
          <w:highlight w:val="none"/>
          <w:lang w:val="en-US" w:eastAsia="zh-CN" w:bidi="ar-SA"/>
        </w:rPr>
        <w:t xml:space="preserve">             </w:t>
      </w:r>
      <w:r>
        <w:rPr>
          <w:rFonts w:hint="eastAsia" w:ascii="宋体" w:hAnsi="宋体" w:cs="宋体"/>
          <w:color w:val="auto"/>
          <w:sz w:val="20"/>
          <w:szCs w:val="18"/>
          <w:highlight w:val="none"/>
          <w:lang w:val="en-US" w:bidi="ar-SA"/>
        </w:rPr>
        <w:t>日期：</w:t>
      </w:r>
      <w:r>
        <w:rPr>
          <w:rFonts w:hint="eastAsia" w:ascii="宋体" w:hAnsi="宋体" w:cs="宋体"/>
          <w:color w:val="auto"/>
          <w:sz w:val="20"/>
          <w:szCs w:val="18"/>
          <w:highlight w:val="none"/>
          <w:lang w:val="en-US" w:bidi="ar-SA"/>
        </w:rPr>
        <w:br w:type="page"/>
      </w:r>
    </w:p>
    <w:p>
      <w:pPr>
        <w:spacing w:line="480" w:lineRule="exact"/>
        <w:jc w:val="center"/>
        <w:outlineLvl w:val="1"/>
        <w:rPr>
          <w:rFonts w:hint="eastAsia" w:ascii="宋体" w:hAnsi="宋体" w:cs="宋体"/>
          <w:color w:val="auto"/>
          <w:highlight w:val="none"/>
        </w:rPr>
      </w:pPr>
      <w:r>
        <w:rPr>
          <w:rFonts w:hint="eastAsia" w:ascii="宋体" w:hAnsi="宋体" w:cs="宋体"/>
          <w:b/>
          <w:bCs/>
          <w:color w:val="auto"/>
          <w:sz w:val="24"/>
          <w:szCs w:val="24"/>
          <w:highlight w:val="none"/>
        </w:rPr>
        <w:t>附件</w:t>
      </w:r>
      <w:r>
        <w:rPr>
          <w:rFonts w:hint="eastAsia" w:ascii="宋体" w:hAnsi="宋体" w:cs="宋体"/>
          <w:b/>
          <w:bCs/>
          <w:color w:val="auto"/>
          <w:sz w:val="24"/>
          <w:szCs w:val="24"/>
          <w:highlight w:val="none"/>
          <w:lang w:val="en-US" w:eastAsia="zh-CN"/>
        </w:rPr>
        <w:t>2</w:t>
      </w:r>
      <w:r>
        <w:rPr>
          <w:rFonts w:hint="eastAsia" w:ascii="宋体" w:hAnsi="宋体" w:cs="宋体"/>
          <w:b/>
          <w:bCs/>
          <w:color w:val="auto"/>
          <w:sz w:val="24"/>
          <w:szCs w:val="24"/>
          <w:highlight w:val="none"/>
        </w:rPr>
        <w:t>：商务</w:t>
      </w:r>
      <w:r>
        <w:rPr>
          <w:rFonts w:hint="eastAsia" w:ascii="宋体" w:hAnsi="宋体" w:cs="宋体"/>
          <w:b/>
          <w:bCs/>
          <w:color w:val="auto"/>
          <w:sz w:val="24"/>
          <w:szCs w:val="24"/>
          <w:highlight w:val="none"/>
          <w:lang w:val="en-US" w:eastAsia="zh-CN"/>
        </w:rPr>
        <w:t>技术</w:t>
      </w:r>
      <w:r>
        <w:rPr>
          <w:rFonts w:hint="eastAsia" w:ascii="宋体" w:hAnsi="宋体" w:cs="宋体"/>
          <w:b/>
          <w:bCs/>
          <w:color w:val="auto"/>
          <w:sz w:val="24"/>
          <w:szCs w:val="24"/>
          <w:highlight w:val="none"/>
        </w:rPr>
        <w:t>评分细则（注：此表不需要投标人填写）</w:t>
      </w:r>
    </w:p>
    <w:tbl>
      <w:tblPr>
        <w:tblStyle w:val="19"/>
        <w:tblW w:w="91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127"/>
        <w:gridCol w:w="950"/>
        <w:gridCol w:w="6393"/>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28"/>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28"/>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28"/>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6394"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28"/>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28"/>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28"/>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技术部分</w:t>
            </w:r>
            <w:r>
              <w:rPr>
                <w:rFonts w:hint="eastAsia" w:ascii="宋体" w:hAnsi="宋体" w:eastAsia="宋体" w:cs="宋体"/>
                <w:color w:val="auto"/>
                <w:sz w:val="21"/>
                <w:szCs w:val="21"/>
                <w:highlight w:val="none"/>
                <w:lang w:val="en-US" w:eastAsia="zh-CN"/>
              </w:rPr>
              <w:t>分值</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59</w:t>
            </w:r>
          </w:p>
        </w:tc>
        <w:tc>
          <w:tcPr>
            <w:tcW w:w="639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9"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rPr>
              <w:t>重要技术（参数）要求响应</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w:t>
            </w:r>
          </w:p>
        </w:tc>
        <w:tc>
          <w:tcPr>
            <w:tcW w:w="6394" w:type="dxa"/>
            <w:gridSpan w:val="2"/>
            <w:tcBorders>
              <w:top w:val="single" w:color="auto" w:sz="4" w:space="0"/>
              <w:left w:val="nil"/>
              <w:bottom w:val="single" w:color="auto" w:sz="4" w:space="0"/>
              <w:right w:val="single" w:color="auto" w:sz="4" w:space="0"/>
            </w:tcBorders>
            <w:noWrap w:val="0"/>
            <w:vAlign w:val="center"/>
          </w:tcPr>
          <w:p>
            <w:pPr>
              <w:widowControl w:val="0"/>
              <w:spacing w:line="360" w:lineRule="auto"/>
              <w:rPr>
                <w:rFonts w:hint="eastAsia" w:ascii="宋体" w:hAnsi="宋体" w:eastAsia="宋体" w:cs="宋体"/>
                <w:sz w:val="21"/>
                <w:szCs w:val="21"/>
              </w:rPr>
            </w:pPr>
            <w:r>
              <w:rPr>
                <w:rFonts w:hint="eastAsia" w:ascii="宋体" w:hAnsi="宋体" w:eastAsia="宋体" w:cs="宋体"/>
                <w:sz w:val="21"/>
                <w:szCs w:val="21"/>
              </w:rPr>
              <w:t>根据投标人对本项目招标文件</w:t>
            </w:r>
            <w:r>
              <w:rPr>
                <w:rFonts w:hint="eastAsia" w:ascii="宋体" w:hAnsi="宋体" w:eastAsia="宋体" w:cs="宋体"/>
                <w:sz w:val="21"/>
                <w:szCs w:val="21"/>
                <w:lang w:val="en-US" w:eastAsia="zh-CN"/>
              </w:rPr>
              <w:t>第二部分 用户需求书中“三、服务内容及技术要求”</w:t>
            </w:r>
            <w:r>
              <w:rPr>
                <w:rFonts w:hint="eastAsia" w:ascii="宋体" w:hAnsi="宋体" w:eastAsia="宋体" w:cs="宋体"/>
                <w:sz w:val="21"/>
                <w:szCs w:val="21"/>
              </w:rPr>
              <w:t>中的重要技术参数（标有“▲”参数）的响应程度进行评分：</w:t>
            </w:r>
            <w:r>
              <w:rPr>
                <w:rFonts w:hint="eastAsia" w:ascii="宋体" w:hAnsi="宋体" w:eastAsia="宋体" w:cs="宋体"/>
                <w:sz w:val="21"/>
                <w:szCs w:val="21"/>
                <w:lang w:val="en-US" w:eastAsia="zh-CN"/>
              </w:rPr>
              <w:t>对</w:t>
            </w:r>
            <w:r>
              <w:rPr>
                <w:rFonts w:hint="eastAsia" w:ascii="宋体" w:hAnsi="宋体" w:eastAsia="宋体" w:cs="宋体"/>
                <w:sz w:val="21"/>
                <w:szCs w:val="21"/>
              </w:rPr>
              <w:t>重要技术条款（共</w:t>
            </w:r>
            <w:r>
              <w:rPr>
                <w:rFonts w:hint="eastAsia" w:ascii="宋体" w:hAnsi="宋体" w:eastAsia="宋体" w:cs="宋体"/>
                <w:sz w:val="21"/>
                <w:szCs w:val="21"/>
                <w:lang w:val="en-US" w:eastAsia="zh-CN"/>
              </w:rPr>
              <w:t>6</w:t>
            </w:r>
            <w:r>
              <w:rPr>
                <w:rFonts w:hint="eastAsia" w:ascii="宋体" w:hAnsi="宋体" w:eastAsia="宋体" w:cs="宋体"/>
                <w:sz w:val="21"/>
                <w:szCs w:val="21"/>
              </w:rPr>
              <w:t>项）均作出响应且全部满足的，得</w:t>
            </w:r>
            <w:r>
              <w:rPr>
                <w:rFonts w:hint="eastAsia" w:ascii="宋体" w:hAnsi="宋体" w:eastAsia="宋体" w:cs="宋体"/>
                <w:sz w:val="21"/>
                <w:szCs w:val="21"/>
                <w:lang w:val="en-US" w:eastAsia="zh-CN"/>
              </w:rPr>
              <w:t>18</w:t>
            </w:r>
            <w:r>
              <w:rPr>
                <w:rFonts w:hint="eastAsia" w:ascii="宋体" w:hAnsi="宋体" w:eastAsia="宋体" w:cs="宋体"/>
                <w:sz w:val="21"/>
                <w:szCs w:val="21"/>
              </w:rPr>
              <w:t>分；重要技术条款为负偏离或无响应的，每项扣</w:t>
            </w:r>
            <w:r>
              <w:rPr>
                <w:rFonts w:hint="eastAsia" w:ascii="宋体" w:hAnsi="宋体" w:eastAsia="宋体" w:cs="宋体"/>
                <w:sz w:val="21"/>
                <w:szCs w:val="21"/>
                <w:lang w:val="en-US" w:eastAsia="zh-CN"/>
              </w:rPr>
              <w:t>3</w:t>
            </w:r>
            <w:r>
              <w:rPr>
                <w:rFonts w:hint="eastAsia" w:ascii="宋体" w:hAnsi="宋体" w:eastAsia="宋体" w:cs="宋体"/>
                <w:sz w:val="21"/>
                <w:szCs w:val="21"/>
              </w:rPr>
              <w:t xml:space="preserve">分，扣完为止。 </w:t>
            </w:r>
          </w:p>
          <w:p>
            <w:pPr>
              <w:pStyle w:val="2"/>
              <w:spacing w:line="360" w:lineRule="auto"/>
              <w:rPr>
                <w:rFonts w:hint="eastAsia" w:ascii="宋体" w:hAnsi="宋体" w:eastAsia="宋体" w:cs="宋体"/>
                <w:sz w:val="21"/>
                <w:szCs w:val="21"/>
                <w:lang w:val="en-US" w:eastAsia="zh-CN"/>
              </w:rPr>
            </w:pPr>
            <w:r>
              <w:rPr>
                <w:rFonts w:hint="eastAsia" w:ascii="宋体" w:hAnsi="宋体" w:eastAsia="宋体" w:cs="宋体"/>
                <w:b/>
                <w:bCs/>
                <w:sz w:val="21"/>
                <w:szCs w:val="21"/>
              </w:rPr>
              <w:t>注：</w:t>
            </w:r>
            <w:r>
              <w:rPr>
                <w:rFonts w:hint="eastAsia" w:ascii="宋体" w:hAnsi="宋体" w:eastAsia="宋体" w:cs="宋体"/>
                <w:sz w:val="21"/>
                <w:szCs w:val="21"/>
              </w:rPr>
              <w:t>投标文件中须对本项目招标文件中标有“▲”的重要技术参数或者要求逐条作出明确响应（若采购需求中要求提供相关证明材料的，还须提供要求的证明材料投标人应当在证明材料上采用显著且易于识别的标识框出上述相关参数响应内容），负偏离或者不响应或者未提供符合要求的证明文件，对应项将予以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1.2</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rPr>
              <w:t>一般技术（参数）要求响应</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6394" w:type="dxa"/>
            <w:gridSpan w:val="2"/>
            <w:tcBorders>
              <w:top w:val="single" w:color="auto" w:sz="4" w:space="0"/>
              <w:left w:val="nil"/>
              <w:bottom w:val="single" w:color="auto" w:sz="4" w:space="0"/>
              <w:right w:val="single" w:color="auto" w:sz="4" w:space="0"/>
            </w:tcBorders>
            <w:noWrap w:val="0"/>
            <w:vAlign w:val="center"/>
          </w:tcPr>
          <w:p>
            <w:pPr>
              <w:pStyle w:val="27"/>
              <w:spacing w:line="360" w:lineRule="auto"/>
              <w:jc w:val="left"/>
              <w:rPr>
                <w:rFonts w:hint="eastAsia" w:ascii="宋体" w:hAnsi="宋体" w:eastAsia="宋体" w:cs="宋体"/>
                <w:sz w:val="21"/>
                <w:szCs w:val="21"/>
              </w:rPr>
            </w:pPr>
            <w:r>
              <w:rPr>
                <w:rFonts w:hint="eastAsia" w:ascii="宋体" w:hAnsi="宋体" w:eastAsia="宋体" w:cs="宋体"/>
                <w:sz w:val="21"/>
                <w:szCs w:val="21"/>
              </w:rPr>
              <w:t>根据投标人对本项目招标文件</w:t>
            </w:r>
            <w:r>
              <w:rPr>
                <w:rFonts w:hint="eastAsia" w:ascii="宋体" w:hAnsi="宋体" w:eastAsia="宋体" w:cs="宋体"/>
                <w:sz w:val="21"/>
                <w:szCs w:val="21"/>
                <w:lang w:val="en-US" w:eastAsia="zh-CN"/>
              </w:rPr>
              <w:t>第二部分 用户需求书中“三、服务内容及技术要求”</w:t>
            </w:r>
            <w:r>
              <w:rPr>
                <w:rFonts w:hint="eastAsia" w:ascii="宋体" w:hAnsi="宋体" w:eastAsia="宋体" w:cs="宋体"/>
                <w:sz w:val="21"/>
                <w:szCs w:val="21"/>
              </w:rPr>
              <w:t>中未标注“★”、“▲”条款的响应程度进行打分，</w:t>
            </w:r>
            <w:r>
              <w:rPr>
                <w:rFonts w:hint="eastAsia" w:ascii="宋体" w:hAnsi="宋体" w:eastAsia="宋体" w:cs="宋体"/>
                <w:sz w:val="21"/>
                <w:szCs w:val="21"/>
                <w:lang w:val="en-US" w:eastAsia="zh-CN"/>
              </w:rPr>
              <w:t>对</w:t>
            </w:r>
            <w:r>
              <w:rPr>
                <w:rFonts w:hint="eastAsia" w:ascii="宋体" w:hAnsi="宋体" w:eastAsia="宋体" w:cs="宋体"/>
                <w:sz w:val="21"/>
                <w:szCs w:val="21"/>
              </w:rPr>
              <w:t>一般技术要求（共</w:t>
            </w:r>
            <w:r>
              <w:rPr>
                <w:rFonts w:hint="eastAsia" w:ascii="宋体" w:hAnsi="宋体" w:eastAsia="宋体" w:cs="宋体"/>
                <w:sz w:val="21"/>
                <w:szCs w:val="21"/>
                <w:lang w:val="en-US" w:eastAsia="zh-CN"/>
              </w:rPr>
              <w:t>14</w:t>
            </w:r>
            <w:r>
              <w:rPr>
                <w:rFonts w:hint="eastAsia" w:ascii="宋体" w:hAnsi="宋体" w:eastAsia="宋体" w:cs="宋体"/>
                <w:sz w:val="21"/>
                <w:szCs w:val="21"/>
              </w:rPr>
              <w:t>条）均作出响应且全部满足的，得</w:t>
            </w:r>
            <w:r>
              <w:rPr>
                <w:rFonts w:hint="eastAsia" w:ascii="宋体" w:hAnsi="宋体" w:eastAsia="宋体" w:cs="宋体"/>
                <w:sz w:val="21"/>
                <w:szCs w:val="21"/>
                <w:lang w:val="en-US" w:eastAsia="zh-CN"/>
              </w:rPr>
              <w:t>14</w:t>
            </w:r>
            <w:r>
              <w:rPr>
                <w:rFonts w:hint="eastAsia" w:ascii="宋体" w:hAnsi="宋体" w:eastAsia="宋体" w:cs="宋体"/>
                <w:sz w:val="21"/>
                <w:szCs w:val="21"/>
              </w:rPr>
              <w:t>分；一般技术条款为负</w:t>
            </w:r>
            <w:bookmarkStart w:id="150" w:name="_GoBack"/>
            <w:bookmarkEnd w:id="150"/>
            <w:r>
              <w:rPr>
                <w:rFonts w:hint="eastAsia" w:ascii="宋体" w:hAnsi="宋体" w:eastAsia="宋体" w:cs="宋体"/>
                <w:sz w:val="21"/>
                <w:szCs w:val="21"/>
              </w:rPr>
              <w:t>偏离或无响应的，每项扣</w:t>
            </w:r>
            <w:r>
              <w:rPr>
                <w:rFonts w:hint="eastAsia" w:ascii="宋体" w:hAnsi="宋体" w:eastAsia="宋体" w:cs="宋体"/>
                <w:sz w:val="21"/>
                <w:szCs w:val="21"/>
                <w:lang w:val="en-US" w:eastAsia="zh-CN"/>
              </w:rPr>
              <w:t>1</w:t>
            </w:r>
            <w:r>
              <w:rPr>
                <w:rFonts w:hint="eastAsia" w:ascii="宋体" w:hAnsi="宋体" w:eastAsia="宋体" w:cs="宋体"/>
                <w:sz w:val="21"/>
                <w:szCs w:val="21"/>
              </w:rPr>
              <w:t>分，扣完为止。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b/>
                <w:bCs/>
                <w:sz w:val="21"/>
                <w:szCs w:val="21"/>
              </w:rPr>
              <w:t>注：</w:t>
            </w:r>
            <w:r>
              <w:rPr>
                <w:rFonts w:hint="eastAsia" w:ascii="宋体" w:hAnsi="宋体" w:eastAsia="宋体" w:cs="宋体"/>
                <w:sz w:val="21"/>
                <w:szCs w:val="21"/>
              </w:rPr>
              <w:t>投标文件中须对本项目招标文件中的一般技术参数或者要求逐条作出明确响应（若采购需求中要求提供相关证明材料的，还须提供要求的证明材料；），负偏离或者不响应或者未提供符合要求的证明文件，对应项将予以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cs="宋体"/>
                <w:color w:val="auto"/>
                <w:sz w:val="21"/>
                <w:szCs w:val="21"/>
                <w:highlight w:val="none"/>
                <w:lang w:val="en-US" w:eastAsia="zh-CN"/>
              </w:rPr>
              <w:t>3</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实施方案</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9</w:t>
            </w:r>
          </w:p>
        </w:tc>
        <w:tc>
          <w:tcPr>
            <w:tcW w:w="6394" w:type="dxa"/>
            <w:gridSpan w:val="2"/>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投标人根据本项目实际情况制定</w:t>
            </w:r>
            <w:r>
              <w:rPr>
                <w:rFonts w:hint="eastAsia" w:cs="宋体"/>
                <w:b w:val="0"/>
                <w:bCs w:val="0"/>
                <w:color w:val="auto"/>
                <w:sz w:val="21"/>
                <w:szCs w:val="21"/>
                <w:highlight w:val="none"/>
                <w:lang w:val="en-US" w:eastAsia="zh-CN"/>
              </w:rPr>
              <w:t>实施</w:t>
            </w:r>
            <w:r>
              <w:rPr>
                <w:rFonts w:hint="eastAsia" w:ascii="宋体" w:hAnsi="宋体" w:eastAsia="宋体" w:cs="宋体"/>
                <w:b w:val="0"/>
                <w:bCs w:val="0"/>
                <w:color w:val="auto"/>
                <w:sz w:val="21"/>
                <w:szCs w:val="21"/>
                <w:highlight w:val="none"/>
                <w:lang w:val="en-US" w:eastAsia="zh-CN"/>
              </w:rPr>
              <w:t>方案，方案内容能够充分体现直饮水系统特点以及本项目现有场地环境条件等因素，满足本项目投资建设要求，符合院方建筑物和构筑物实际情况，满足在医患直饮水使用需求。方案包括但不限于：①设备的布置方式；②设备安装示意图；③安装进度计划等。</w:t>
            </w:r>
          </w:p>
          <w:p>
            <w:pPr>
              <w:pStyle w:val="27"/>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（1）针对上述全部量化指标作出了明确的响应，且每个量化指标完全满足或者优于采购需求，得</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w:t>
            </w:r>
          </w:p>
          <w:p>
            <w:pPr>
              <w:pStyle w:val="27"/>
              <w:numPr>
                <w:ilvl w:val="0"/>
                <w:numId w:val="2"/>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只针对上述量化指标中的其中2项作出明确响应，且相应量化指标完全满足或者优于这些量化指标所对应的采购需求，得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pPr>
              <w:pStyle w:val="27"/>
              <w:numPr>
                <w:ilvl w:val="0"/>
                <w:numId w:val="2"/>
              </w:num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只针对上述量化指标中的其中1项作出明确响应，且相应量化指标完全满足或者优于该量化指标所对应的采购需求，得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未针对上述量化指标中的任何一项作出响应；或者虽针对上述全部量化指标作出了响应但均不能满足采购需求；或者未提供本项内容，得0分。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r>
              <w:rPr>
                <w:rFonts w:hint="eastAsia" w:cs="宋体"/>
                <w:color w:val="auto"/>
                <w:sz w:val="21"/>
                <w:szCs w:val="21"/>
                <w:highlight w:val="none"/>
                <w:lang w:val="en-US" w:eastAsia="zh-CN"/>
              </w:rPr>
              <w:t>4</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1"/>
                <w:szCs w:val="21"/>
                <w:highlight w:val="none"/>
                <w:lang w:val="en-US" w:eastAsia="zh-CN" w:bidi="ar-SA"/>
              </w:rPr>
            </w:pPr>
            <w:r>
              <w:rPr>
                <w:rFonts w:hint="eastAsia" w:cs="宋体"/>
                <w:color w:val="auto"/>
                <w:sz w:val="21"/>
                <w:szCs w:val="21"/>
                <w:highlight w:val="none"/>
                <w:lang w:val="en-US" w:eastAsia="zh-CN" w:bidi="ar-SA"/>
              </w:rPr>
              <w:t>产品质量控制方案</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bidi="ar-SA"/>
              </w:rPr>
            </w:pPr>
            <w:r>
              <w:rPr>
                <w:rFonts w:hint="eastAsia" w:cs="宋体"/>
                <w:color w:val="auto"/>
                <w:sz w:val="21"/>
                <w:szCs w:val="21"/>
                <w:highlight w:val="none"/>
                <w:lang w:val="en-US" w:eastAsia="zh-CN"/>
              </w:rPr>
              <w:t>9</w:t>
            </w:r>
          </w:p>
        </w:tc>
        <w:tc>
          <w:tcPr>
            <w:tcW w:w="6394" w:type="dxa"/>
            <w:gridSpan w:val="2"/>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投标人根据项目实际情况提供产品质量控制方案，方案包括但不限于：①产品质量检测程序；②产品操作使用便捷性；③备品备件保障等。</w:t>
            </w:r>
          </w:p>
          <w:p>
            <w:pPr>
              <w:spacing w:line="360" w:lineRule="auto"/>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（1）针对上述全部量化指标作出了明确的响应，且每个量化指标完全满足或者优于采购需求，得9分；</w:t>
            </w:r>
          </w:p>
          <w:p>
            <w:pPr>
              <w:spacing w:line="360" w:lineRule="auto"/>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（2）只针对上述量化指标中的其中2项作出明确响应，且相应量化指标完全满足或者优于这些量化指标所对应的采购需求，得6分；</w:t>
            </w:r>
          </w:p>
          <w:p>
            <w:pPr>
              <w:spacing w:line="360" w:lineRule="auto"/>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（3）只针对上述量化指标中的其中1项作出明确响应，且相应量化指标完全满足或者优于这些量化指标所对应的采购需求，得3分；</w:t>
            </w:r>
          </w:p>
          <w:p>
            <w:pPr>
              <w:spacing w:line="360" w:lineRule="auto"/>
              <w:ind w:left="0" w:leftChars="0" w:right="0" w:rightChars="0"/>
              <w:jc w:val="left"/>
              <w:rPr>
                <w:rFonts w:hint="eastAsia" w:ascii="Times New Roman" w:hAnsi="Times New Roman" w:eastAsia="宋体" w:cs="Times New Roman"/>
                <w:b w:val="0"/>
                <w:bCs w:val="0"/>
                <w:color w:val="auto"/>
                <w:sz w:val="21"/>
                <w:szCs w:val="21"/>
                <w:highlight w:val="none"/>
                <w:lang w:val="en-US" w:eastAsia="zh-CN" w:bidi="zh-CN"/>
              </w:rPr>
            </w:pPr>
            <w:r>
              <w:rPr>
                <w:rFonts w:hint="eastAsia" w:ascii="宋体" w:hAnsi="宋体" w:eastAsia="宋体" w:cs="宋体"/>
                <w:b w:val="0"/>
                <w:bCs w:val="0"/>
                <w:color w:val="auto"/>
                <w:sz w:val="21"/>
                <w:szCs w:val="21"/>
                <w:highlight w:val="none"/>
                <w:lang w:val="en-US" w:eastAsia="zh-CN"/>
              </w:rPr>
              <w:t>（4）未针对上述量化指标中的任何一项作出响应；或者虽针对上述全部量化指标作出了响应但均不能满足采购需求；或者未提供本项内容，得0分。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cs="宋体"/>
                <w:color w:val="auto"/>
                <w:sz w:val="21"/>
                <w:szCs w:val="21"/>
                <w:highlight w:val="none"/>
                <w:lang w:val="en-US" w:eastAsia="zh-CN"/>
              </w:rPr>
              <w:t>5</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Times New Roman" w:hAnsi="Times New Roman" w:cs="Times New Roman"/>
                <w:b w:val="0"/>
                <w:bCs w:val="0"/>
                <w:color w:val="auto"/>
                <w:sz w:val="21"/>
                <w:szCs w:val="21"/>
                <w:highlight w:val="none"/>
                <w:lang w:val="en-US" w:eastAsia="zh-CN"/>
              </w:rPr>
              <w:t>售后</w:t>
            </w:r>
            <w:r>
              <w:rPr>
                <w:rFonts w:hint="default" w:ascii="Times New Roman" w:hAnsi="Times New Roman" w:eastAsia="宋体" w:cs="Times New Roman"/>
                <w:b w:val="0"/>
                <w:bCs w:val="0"/>
                <w:color w:val="auto"/>
                <w:sz w:val="21"/>
                <w:szCs w:val="21"/>
                <w:highlight w:val="none"/>
                <w:lang w:val="en-US" w:eastAsia="zh-CN"/>
              </w:rPr>
              <w:t>服务方案</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9</w:t>
            </w:r>
          </w:p>
        </w:tc>
        <w:tc>
          <w:tcPr>
            <w:tcW w:w="6394" w:type="dxa"/>
            <w:gridSpan w:val="2"/>
            <w:tcBorders>
              <w:top w:val="single" w:color="auto" w:sz="4" w:space="0"/>
              <w:left w:val="nil"/>
              <w:bottom w:val="single" w:color="auto" w:sz="4" w:space="0"/>
              <w:right w:val="single" w:color="auto" w:sz="4" w:space="0"/>
            </w:tcBorders>
            <w:noWrap w:val="0"/>
            <w:vAlign w:val="center"/>
          </w:tcPr>
          <w:p>
            <w:pPr>
              <w:spacing w:line="360" w:lineRule="auto"/>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投标人根据项目实际情况提供售后服务方案，方案包括但不限于：①</w:t>
            </w:r>
            <w:r>
              <w:rPr>
                <w:rFonts w:hint="eastAsia" w:cs="宋体"/>
                <w:b w:val="0"/>
                <w:bCs w:val="0"/>
                <w:color w:val="auto"/>
                <w:sz w:val="21"/>
                <w:szCs w:val="21"/>
                <w:highlight w:val="none"/>
                <w:lang w:val="en-US" w:eastAsia="zh-CN"/>
              </w:rPr>
              <w:t>设备</w:t>
            </w:r>
            <w:r>
              <w:rPr>
                <w:rFonts w:hint="eastAsia" w:ascii="宋体" w:hAnsi="宋体" w:eastAsia="宋体" w:cs="宋体"/>
                <w:b w:val="0"/>
                <w:bCs w:val="0"/>
                <w:color w:val="auto"/>
                <w:sz w:val="21"/>
                <w:szCs w:val="21"/>
                <w:highlight w:val="none"/>
                <w:lang w:val="en-US" w:eastAsia="zh-CN"/>
              </w:rPr>
              <w:t>维护管理方案；②日常巡视管理方案；③设备故障</w:t>
            </w:r>
            <w:r>
              <w:rPr>
                <w:rFonts w:hint="eastAsia" w:cs="宋体"/>
                <w:b w:val="0"/>
                <w:bCs w:val="0"/>
                <w:color w:val="auto"/>
                <w:sz w:val="21"/>
                <w:szCs w:val="21"/>
                <w:highlight w:val="none"/>
                <w:lang w:val="en-US" w:eastAsia="zh-CN"/>
              </w:rPr>
              <w:t>应急</w:t>
            </w:r>
            <w:r>
              <w:rPr>
                <w:rFonts w:hint="eastAsia" w:ascii="宋体" w:hAnsi="宋体" w:eastAsia="宋体" w:cs="宋体"/>
                <w:b w:val="0"/>
                <w:bCs w:val="0"/>
                <w:color w:val="auto"/>
                <w:sz w:val="21"/>
                <w:szCs w:val="21"/>
                <w:highlight w:val="none"/>
                <w:lang w:val="en-US" w:eastAsia="zh-CN"/>
              </w:rPr>
              <w:t>处理方案等。</w:t>
            </w:r>
          </w:p>
          <w:p>
            <w:pPr>
              <w:pStyle w:val="27"/>
              <w:spacing w:line="360" w:lineRule="auto"/>
              <w:jc w:val="left"/>
              <w:rPr>
                <w:rFonts w:hint="eastAsia" w:ascii="宋体" w:hAnsi="宋体" w:eastAsia="宋体" w:cs="宋体"/>
                <w:sz w:val="21"/>
                <w:szCs w:val="21"/>
              </w:rPr>
            </w:pPr>
            <w:r>
              <w:rPr>
                <w:rFonts w:hint="eastAsia" w:ascii="宋体" w:hAnsi="宋体" w:eastAsia="宋体" w:cs="宋体"/>
                <w:sz w:val="21"/>
                <w:szCs w:val="21"/>
              </w:rPr>
              <w:t>（1）针对上述全部量化指标作出了明确的响应，且每个量化指标完全满足或者优于采购需求，得</w:t>
            </w:r>
            <w:r>
              <w:rPr>
                <w:rFonts w:hint="eastAsia" w:ascii="宋体" w:hAnsi="宋体" w:eastAsia="宋体" w:cs="宋体"/>
                <w:sz w:val="21"/>
                <w:szCs w:val="21"/>
                <w:lang w:val="en-US" w:eastAsia="zh-CN"/>
              </w:rPr>
              <w:t>9</w:t>
            </w:r>
            <w:r>
              <w:rPr>
                <w:rFonts w:hint="eastAsia" w:ascii="宋体" w:hAnsi="宋体" w:eastAsia="宋体" w:cs="宋体"/>
                <w:sz w:val="21"/>
                <w:szCs w:val="21"/>
              </w:rPr>
              <w:t>分；</w:t>
            </w:r>
          </w:p>
          <w:p>
            <w:pPr>
              <w:pStyle w:val="27"/>
              <w:numPr>
                <w:ilvl w:val="-1"/>
                <w:numId w:val="0"/>
              </w:numPr>
              <w:spacing w:line="360" w:lineRule="auto"/>
              <w:jc w:val="left"/>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只针对上述量化指标中的其中</w:t>
            </w:r>
            <w:r>
              <w:rPr>
                <w:rFonts w:hint="eastAsia" w:ascii="宋体" w:hAnsi="宋体" w:eastAsia="宋体" w:cs="宋体"/>
                <w:sz w:val="21"/>
                <w:szCs w:val="21"/>
                <w:lang w:val="en-US" w:eastAsia="zh-CN"/>
              </w:rPr>
              <w:t>2</w:t>
            </w:r>
            <w:r>
              <w:rPr>
                <w:rFonts w:hint="eastAsia" w:ascii="宋体" w:hAnsi="宋体" w:eastAsia="宋体" w:cs="宋体"/>
                <w:sz w:val="21"/>
                <w:szCs w:val="21"/>
              </w:rPr>
              <w:t>项作出明确响应，且相应量化指标完全满足或者优于这些量化指标所对应的采购需求，得</w:t>
            </w:r>
            <w:r>
              <w:rPr>
                <w:rFonts w:hint="eastAsia" w:ascii="宋体" w:hAnsi="宋体" w:eastAsia="宋体" w:cs="宋体"/>
                <w:sz w:val="21"/>
                <w:szCs w:val="21"/>
                <w:lang w:val="en-US" w:eastAsia="zh-CN"/>
              </w:rPr>
              <w:t>6</w:t>
            </w:r>
            <w:r>
              <w:rPr>
                <w:rFonts w:hint="eastAsia" w:ascii="宋体" w:hAnsi="宋体" w:eastAsia="宋体" w:cs="宋体"/>
                <w:sz w:val="21"/>
                <w:szCs w:val="21"/>
              </w:rPr>
              <w:t>分；</w:t>
            </w:r>
          </w:p>
          <w:p>
            <w:pPr>
              <w:pStyle w:val="27"/>
              <w:numPr>
                <w:ilvl w:val="-1"/>
                <w:numId w:val="0"/>
              </w:numPr>
              <w:spacing w:line="360" w:lineRule="auto"/>
              <w:jc w:val="left"/>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只针对上述量化指标中的其中</w:t>
            </w:r>
            <w:r>
              <w:rPr>
                <w:rFonts w:hint="eastAsia" w:ascii="宋体" w:hAnsi="宋体" w:eastAsia="宋体" w:cs="宋体"/>
                <w:sz w:val="21"/>
                <w:szCs w:val="21"/>
                <w:lang w:val="en-US" w:eastAsia="zh-CN"/>
              </w:rPr>
              <w:t>1</w:t>
            </w:r>
            <w:r>
              <w:rPr>
                <w:rFonts w:hint="eastAsia" w:ascii="宋体" w:hAnsi="宋体" w:eastAsia="宋体" w:cs="宋体"/>
                <w:sz w:val="21"/>
                <w:szCs w:val="21"/>
              </w:rPr>
              <w:t>项作出明确响应，且相应量化指标完全满足或者优于这些量化指标所对应的采购需求，得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lang w:eastAsia="zh-CN"/>
              </w:rPr>
              <w:t>（</w:t>
            </w:r>
            <w:r>
              <w:rPr>
                <w:rFonts w:hint="eastAsia"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未针对上述量化指标中的任何一项作出响应；或者虽针对上述全部量化指标作出了响应但均不能满足采购需求；或者未提供本项内容，得0分。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2</w:t>
            </w:r>
          </w:p>
        </w:tc>
        <w:tc>
          <w:tcPr>
            <w:tcW w:w="1127" w:type="dxa"/>
            <w:tcBorders>
              <w:top w:val="single" w:color="auto" w:sz="4" w:space="0"/>
              <w:left w:val="nil"/>
              <w:bottom w:val="single" w:color="auto" w:sz="4" w:space="0"/>
              <w:right w:val="single" w:color="auto" w:sz="4" w:space="0"/>
            </w:tcBorders>
            <w:noWrap w:val="0"/>
            <w:vAlign w:val="center"/>
          </w:tcPr>
          <w:p>
            <w:pPr>
              <w:spacing w:line="360" w:lineRule="auto"/>
              <w:jc w:val="center"/>
              <w:rPr>
                <w:rFonts w:hint="eastAsia" w:ascii="宋体" w:hAnsi="宋体" w:eastAsia="宋体" w:cs="宋体"/>
                <w:sz w:val="21"/>
                <w:szCs w:val="21"/>
              </w:rPr>
            </w:pPr>
            <w:r>
              <w:rPr>
                <w:rFonts w:hint="eastAsia" w:ascii="宋体" w:hAnsi="宋体" w:eastAsia="宋体" w:cs="宋体"/>
                <w:color w:val="auto"/>
                <w:sz w:val="21"/>
                <w:szCs w:val="21"/>
                <w:highlight w:val="none"/>
              </w:rPr>
              <w:t>商务部分</w:t>
            </w:r>
            <w:r>
              <w:rPr>
                <w:rFonts w:hint="eastAsia" w:ascii="宋体" w:hAnsi="宋体" w:eastAsia="宋体" w:cs="宋体"/>
                <w:color w:val="auto"/>
                <w:sz w:val="21"/>
                <w:szCs w:val="21"/>
                <w:highlight w:val="none"/>
                <w:lang w:val="en-US" w:eastAsia="zh-CN"/>
              </w:rPr>
              <w:t>分值</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11</w:t>
            </w:r>
          </w:p>
        </w:tc>
        <w:tc>
          <w:tcPr>
            <w:tcW w:w="6394"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val="0"/>
                <w:bCs w:val="0"/>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2.1</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lang w:val="en-US" w:eastAsia="zh-CN"/>
              </w:rPr>
            </w:pPr>
            <w:r>
              <w:rPr>
                <w:rFonts w:hint="eastAsia" w:ascii="Times New Roman" w:hAnsi="Times New Roman" w:cs="Times New Roman"/>
                <w:color w:val="auto"/>
                <w:sz w:val="21"/>
                <w:szCs w:val="21"/>
                <w:highlight w:val="none"/>
                <w:lang w:val="en-US" w:eastAsia="zh-CN"/>
              </w:rPr>
              <w:t>同类业绩</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6</w:t>
            </w:r>
          </w:p>
        </w:tc>
        <w:tc>
          <w:tcPr>
            <w:tcW w:w="6394"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自2023年1月1日以来（以合同签订时间为准）完成的同类业绩（同类业绩指合同内容中包含与直饮水机租赁服务相关的内容）的情况进行评分：每项业绩得2分，最高得6分。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注：（1）投标文件中须提供合同关键页扫描件（包括但不限于合同名称页、合同主要内容页、合同签订日期页、合同双方签字盖章页）并加盖投标人公章，否则不得分。 （2）同一项目不同年份的合同按一份业绩计算，不重复计算业绩分数。同一业主在同一招标/采购项目中续签的合同不重复计分。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2.2</w:t>
            </w:r>
          </w:p>
        </w:tc>
        <w:tc>
          <w:tcPr>
            <w:tcW w:w="112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诚信</w:t>
            </w:r>
            <w:r>
              <w:rPr>
                <w:rFonts w:hint="eastAsia" w:cs="宋体"/>
                <w:color w:val="auto"/>
                <w:sz w:val="21"/>
                <w:szCs w:val="21"/>
                <w:highlight w:val="none"/>
                <w:lang w:val="en-US" w:eastAsia="zh-CN"/>
              </w:rPr>
              <w:t>记录</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5</w:t>
            </w:r>
          </w:p>
        </w:tc>
        <w:tc>
          <w:tcPr>
            <w:tcW w:w="6394"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加强珠海市政府采购供应商诚信管理有关事项的通知》(珠财采通(2022)20号)要求，对供应商的诚信状况（普通失信行为）进行评分，具体计算公式如下：诚信记录评审得分=供应商上一年度诚信记录得分×5%。 注：1.采购代理机构于投标截止时间后，在评审活动开始前，通过广东政府采购网“其他监管检查公告”栏和珠海市财政局网站“信用财政”栏查询投标（响应）供应商的诚信状况（即供应商上一年度的诚信记录得分），提供给评标委员会，由评标委员会根据上述公式进行评审打分。2.首次参加珠海市政府采购活动的供应商诚信管理基础得分为100分，在广东政府采购网“其他监管检查公告”栏和珠海市财政局网站“信用财政”栏查询不到相关供应商扣分记录的，视为该供应商上一年度诚信记录得分为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04" w:hRule="atLeast"/>
        </w:trPr>
        <w:tc>
          <w:tcPr>
            <w:tcW w:w="183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70</w:t>
            </w:r>
          </w:p>
        </w:tc>
        <w:tc>
          <w:tcPr>
            <w:tcW w:w="639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pPr>
        <w:spacing w:line="480" w:lineRule="exact"/>
        <w:jc w:val="center"/>
        <w:outlineLvl w:val="1"/>
        <w:rPr>
          <w:rFonts w:hint="eastAsia" w:ascii="宋体" w:hAnsi="宋体" w:cs="宋体"/>
          <w:color w:val="auto"/>
          <w:highlight w:val="none"/>
        </w:rPr>
      </w:pPr>
      <w:r>
        <w:rPr>
          <w:rFonts w:hint="eastAsia" w:ascii="宋体" w:hAnsi="宋体" w:cs="宋体"/>
          <w:b/>
          <w:bCs/>
          <w:color w:val="auto"/>
          <w:sz w:val="24"/>
          <w:szCs w:val="24"/>
          <w:highlight w:val="none"/>
        </w:rPr>
        <w:t>附件</w:t>
      </w:r>
      <w:r>
        <w:rPr>
          <w:rFonts w:hint="eastAsia" w:ascii="宋体" w:hAnsi="宋体" w:cs="宋体"/>
          <w:b/>
          <w:bCs/>
          <w:color w:val="auto"/>
          <w:sz w:val="24"/>
          <w:szCs w:val="24"/>
          <w:highlight w:val="none"/>
          <w:lang w:val="en-US" w:eastAsia="zh-CN"/>
        </w:rPr>
        <w:t>3</w:t>
      </w:r>
      <w:r>
        <w:rPr>
          <w:rFonts w:hint="eastAsia" w:ascii="宋体" w:hAnsi="宋体" w:cs="宋体"/>
          <w:b/>
          <w:bCs/>
          <w:color w:val="auto"/>
          <w:sz w:val="24"/>
          <w:szCs w:val="24"/>
          <w:highlight w:val="none"/>
        </w:rPr>
        <w:t>：投标报价评分细则</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7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414" w:type="dxa"/>
            <w:noWrap w:val="0"/>
            <w:vAlign w:val="center"/>
          </w:tcPr>
          <w:p>
            <w:pPr>
              <w:jc w:val="center"/>
              <w:rPr>
                <w:rFonts w:ascii="宋体" w:hAnsi="宋体" w:cs="宋体"/>
                <w:color w:val="auto"/>
                <w:sz w:val="21"/>
                <w:szCs w:val="21"/>
                <w:highlight w:val="none"/>
              </w:rPr>
            </w:pPr>
            <w:r>
              <w:rPr>
                <w:rFonts w:hint="eastAsia" w:ascii="宋体" w:hAnsi="宋体" w:cs="宋体"/>
                <w:color w:val="auto"/>
                <w:sz w:val="21"/>
                <w:szCs w:val="21"/>
                <w:highlight w:val="none"/>
              </w:rPr>
              <w:t>价格部分</w:t>
            </w:r>
          </w:p>
          <w:p>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cs="宋体"/>
                <w:color w:val="auto"/>
                <w:sz w:val="21"/>
                <w:szCs w:val="21"/>
                <w:highlight w:val="none"/>
                <w:lang w:val="en-US" w:eastAsia="zh-CN"/>
              </w:rPr>
              <w:t>3</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分）</w:t>
            </w:r>
          </w:p>
        </w:tc>
        <w:tc>
          <w:tcPr>
            <w:tcW w:w="7481" w:type="dxa"/>
            <w:noWrap w:val="0"/>
            <w:vAlign w:val="center"/>
          </w:tcPr>
          <w:p>
            <w:pPr>
              <w:rPr>
                <w:rFonts w:hint="eastAsia" w:ascii="宋体" w:hAnsi="宋体" w:cs="宋体"/>
                <w:color w:val="auto"/>
                <w:sz w:val="21"/>
                <w:szCs w:val="21"/>
                <w:highlight w:val="none"/>
              </w:rPr>
            </w:pPr>
            <w:r>
              <w:rPr>
                <w:rFonts w:hint="eastAsia" w:ascii="宋体" w:hAnsi="宋体" w:cs="宋体"/>
                <w:color w:val="auto"/>
                <w:sz w:val="21"/>
                <w:szCs w:val="21"/>
                <w:highlight w:val="none"/>
              </w:rPr>
              <w:t>投标报价得分采用低价优先法计算，即满足采购文件要求且投标价格最低的投标报价为评标基准价，其投标报价得分为满分。其他投标人的投标报价得分统一按照下列公式计算：投标报价得分=（评标基准价/投标报价）×</w:t>
            </w:r>
            <w:r>
              <w:rPr>
                <w:rFonts w:hint="eastAsia" w:cs="宋体"/>
                <w:color w:val="auto"/>
                <w:sz w:val="21"/>
                <w:szCs w:val="21"/>
                <w:highlight w:val="none"/>
                <w:lang w:val="en-US" w:eastAsia="zh-CN"/>
              </w:rPr>
              <w:t>3</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×100。</w:t>
            </w:r>
          </w:p>
        </w:tc>
      </w:tr>
    </w:tbl>
    <w:p>
      <w:pPr>
        <w:rPr>
          <w:rFonts w:hint="eastAsia"/>
          <w:color w:val="auto"/>
          <w:highlight w:val="none"/>
        </w:rPr>
      </w:pPr>
      <w:r>
        <w:rPr>
          <w:rFonts w:hint="eastAsia"/>
          <w:color w:val="auto"/>
          <w:highlight w:val="none"/>
        </w:rPr>
        <w:br w:type="page"/>
      </w:r>
    </w:p>
    <w:p>
      <w:pPr>
        <w:spacing w:line="360" w:lineRule="auto"/>
        <w:jc w:val="center"/>
        <w:rPr>
          <w:rFonts w:hint="eastAsia" w:ascii="宋体" w:hAnsi="宋体" w:eastAsia="宋体" w:cs="宋体"/>
          <w:b/>
          <w:kern w:val="28"/>
          <w:sz w:val="36"/>
          <w:szCs w:val="36"/>
          <w:lang w:val="en-US" w:eastAsia="zh-CN"/>
        </w:rPr>
      </w:pPr>
      <w:r>
        <w:rPr>
          <w:rFonts w:hint="eastAsia" w:ascii="宋体" w:hAnsi="宋体" w:eastAsia="宋体" w:cs="宋体"/>
          <w:b/>
          <w:kern w:val="28"/>
          <w:sz w:val="36"/>
          <w:szCs w:val="36"/>
          <w:lang w:val="en-US" w:eastAsia="zh-CN"/>
        </w:rPr>
        <w:t>第</w:t>
      </w:r>
      <w:r>
        <w:rPr>
          <w:rFonts w:hint="eastAsia" w:cs="宋体"/>
          <w:b/>
          <w:kern w:val="28"/>
          <w:sz w:val="36"/>
          <w:szCs w:val="36"/>
          <w:lang w:val="en-US" w:eastAsia="zh-CN"/>
        </w:rPr>
        <w:t>五</w:t>
      </w:r>
      <w:r>
        <w:rPr>
          <w:rFonts w:hint="eastAsia" w:ascii="宋体" w:hAnsi="宋体" w:eastAsia="宋体" w:cs="宋体"/>
          <w:b/>
          <w:kern w:val="28"/>
          <w:sz w:val="36"/>
          <w:szCs w:val="36"/>
          <w:lang w:val="en-US" w:eastAsia="zh-CN"/>
        </w:rPr>
        <w:t>部分  投标文件格式（参考）</w:t>
      </w:r>
    </w:p>
    <w:p>
      <w:pPr>
        <w:pStyle w:val="12"/>
        <w:spacing w:line="360" w:lineRule="auto"/>
        <w:ind w:firstLine="1079" w:firstLineChars="448"/>
        <w:jc w:val="center"/>
        <w:rPr>
          <w:rFonts w:hint="eastAsia" w:hAnsi="宋体" w:cs="宋体"/>
          <w:b/>
          <w:kern w:val="2"/>
          <w:sz w:val="24"/>
          <w:szCs w:val="28"/>
        </w:rPr>
      </w:pPr>
    </w:p>
    <w:p>
      <w:pPr>
        <w:pStyle w:val="12"/>
        <w:tabs>
          <w:tab w:val="left" w:pos="1260"/>
        </w:tabs>
        <w:jc w:val="center"/>
        <w:rPr>
          <w:rFonts w:hint="eastAsia" w:hAnsi="宋体" w:cs="宋体"/>
          <w:b/>
          <w:spacing w:val="100"/>
          <w:w w:val="110"/>
          <w:sz w:val="40"/>
          <w:szCs w:val="44"/>
          <w:u w:val="single"/>
        </w:rPr>
      </w:pPr>
    </w:p>
    <w:p>
      <w:pPr>
        <w:pStyle w:val="12"/>
        <w:tabs>
          <w:tab w:val="left" w:pos="1260"/>
        </w:tabs>
        <w:jc w:val="center"/>
        <w:rPr>
          <w:rFonts w:hint="eastAsia" w:hAnsi="宋体" w:cs="宋体"/>
          <w:b/>
          <w:spacing w:val="100"/>
          <w:w w:val="110"/>
          <w:sz w:val="40"/>
          <w:szCs w:val="44"/>
        </w:rPr>
      </w:pPr>
      <w:bookmarkStart w:id="4" w:name="_Toc23416"/>
      <w:r>
        <w:rPr>
          <w:rFonts w:hint="eastAsia" w:hAnsi="宋体" w:cs="宋体"/>
          <w:b/>
          <w:spacing w:val="100"/>
          <w:w w:val="110"/>
          <w:sz w:val="40"/>
          <w:szCs w:val="44"/>
          <w:u w:val="single"/>
        </w:rPr>
        <w:t>（项目名称）</w:t>
      </w:r>
      <w:bookmarkEnd w:id="4"/>
    </w:p>
    <w:p>
      <w:pPr>
        <w:pStyle w:val="12"/>
        <w:jc w:val="center"/>
        <w:rPr>
          <w:rFonts w:hint="eastAsia" w:hAnsi="宋体" w:cs="宋体"/>
          <w:b/>
          <w:sz w:val="40"/>
          <w:szCs w:val="44"/>
        </w:rPr>
      </w:pPr>
      <w:bookmarkStart w:id="5" w:name="_Toc26042"/>
      <w:bookmarkStart w:id="6" w:name="_Toc11453"/>
      <w:r>
        <w:rPr>
          <w:rFonts w:hint="eastAsia" w:hAnsi="宋体" w:cs="宋体"/>
          <w:b/>
          <w:sz w:val="24"/>
          <w:szCs w:val="28"/>
        </w:rPr>
        <w:t>（</w:t>
      </w:r>
      <w:r>
        <w:rPr>
          <w:rFonts w:hint="eastAsia" w:hAnsi="宋体" w:cs="宋体"/>
          <w:b/>
          <w:kern w:val="2"/>
          <w:sz w:val="24"/>
          <w:szCs w:val="28"/>
        </w:rPr>
        <w:t>封面仅供参考</w:t>
      </w:r>
      <w:r>
        <w:rPr>
          <w:rFonts w:hint="eastAsia" w:hAnsi="宋体" w:cs="宋体"/>
          <w:b/>
          <w:sz w:val="24"/>
          <w:szCs w:val="28"/>
        </w:rPr>
        <w:t>）</w:t>
      </w:r>
      <w:bookmarkEnd w:id="5"/>
      <w:bookmarkEnd w:id="6"/>
    </w:p>
    <w:p>
      <w:pPr>
        <w:pStyle w:val="12"/>
        <w:jc w:val="center"/>
        <w:rPr>
          <w:rFonts w:hint="eastAsia" w:hAnsi="宋体" w:cs="宋体"/>
          <w:b/>
          <w:sz w:val="40"/>
          <w:szCs w:val="44"/>
        </w:rPr>
      </w:pPr>
    </w:p>
    <w:p>
      <w:pPr>
        <w:pStyle w:val="12"/>
        <w:jc w:val="center"/>
        <w:rPr>
          <w:rFonts w:hint="eastAsia" w:hAnsi="宋体" w:cs="宋体"/>
          <w:b/>
          <w:sz w:val="40"/>
          <w:szCs w:val="44"/>
        </w:rPr>
      </w:pPr>
    </w:p>
    <w:p>
      <w:pPr>
        <w:pStyle w:val="12"/>
        <w:tabs>
          <w:tab w:val="left" w:pos="1260"/>
        </w:tabs>
        <w:jc w:val="center"/>
        <w:rPr>
          <w:rFonts w:hint="eastAsia" w:hAnsi="宋体" w:cs="宋体"/>
          <w:b/>
          <w:spacing w:val="100"/>
          <w:w w:val="110"/>
          <w:sz w:val="40"/>
          <w:szCs w:val="44"/>
        </w:rPr>
      </w:pPr>
      <w:bookmarkStart w:id="7" w:name="_Toc16706"/>
      <w:r>
        <w:rPr>
          <w:rFonts w:hint="eastAsia" w:hAnsi="宋体" w:cs="宋体"/>
          <w:b/>
          <w:spacing w:val="100"/>
          <w:w w:val="110"/>
          <w:sz w:val="40"/>
          <w:szCs w:val="44"/>
        </w:rPr>
        <w:t>投标文件</w:t>
      </w:r>
      <w:bookmarkEnd w:id="7"/>
    </w:p>
    <w:p>
      <w:pPr>
        <w:pStyle w:val="12"/>
        <w:jc w:val="center"/>
        <w:rPr>
          <w:rFonts w:hint="eastAsia" w:hAnsi="宋体" w:cs="宋体"/>
          <w:b/>
          <w:sz w:val="40"/>
          <w:szCs w:val="44"/>
        </w:rPr>
      </w:pPr>
      <w:bookmarkStart w:id="8" w:name="_Toc32101"/>
      <w:r>
        <w:rPr>
          <w:rFonts w:hint="eastAsia" w:hAnsi="宋体" w:cs="宋体"/>
          <w:b/>
          <w:sz w:val="40"/>
          <w:szCs w:val="44"/>
        </w:rPr>
        <w:t>（正本/副本）</w:t>
      </w:r>
      <w:bookmarkEnd w:id="8"/>
    </w:p>
    <w:p>
      <w:pPr>
        <w:pStyle w:val="12"/>
        <w:jc w:val="center"/>
        <w:rPr>
          <w:rFonts w:hint="eastAsia" w:hAnsi="宋体" w:cs="宋体"/>
          <w:b/>
          <w:sz w:val="40"/>
          <w:szCs w:val="44"/>
        </w:rPr>
      </w:pPr>
    </w:p>
    <w:p>
      <w:pPr>
        <w:pStyle w:val="12"/>
        <w:jc w:val="center"/>
        <w:rPr>
          <w:rFonts w:hint="eastAsia" w:hAnsi="宋体" w:cs="宋体"/>
          <w:b/>
          <w:sz w:val="40"/>
          <w:szCs w:val="44"/>
        </w:rPr>
      </w:pPr>
    </w:p>
    <w:p>
      <w:pPr>
        <w:pStyle w:val="12"/>
        <w:jc w:val="center"/>
        <w:rPr>
          <w:rFonts w:hint="eastAsia" w:hAnsi="宋体" w:cs="宋体"/>
          <w:b/>
          <w:sz w:val="40"/>
          <w:szCs w:val="44"/>
        </w:rPr>
      </w:pPr>
    </w:p>
    <w:p>
      <w:pPr>
        <w:pStyle w:val="12"/>
        <w:jc w:val="center"/>
        <w:rPr>
          <w:rFonts w:hint="eastAsia" w:hAnsi="宋体" w:cs="宋体"/>
          <w:b/>
          <w:sz w:val="40"/>
          <w:szCs w:val="44"/>
        </w:rPr>
      </w:pPr>
    </w:p>
    <w:p>
      <w:pPr>
        <w:pStyle w:val="12"/>
        <w:jc w:val="center"/>
        <w:rPr>
          <w:rFonts w:hint="eastAsia" w:hAnsi="宋体" w:cs="宋体"/>
          <w:b/>
          <w:sz w:val="40"/>
          <w:szCs w:val="44"/>
        </w:rPr>
      </w:pPr>
    </w:p>
    <w:p>
      <w:pPr>
        <w:pStyle w:val="12"/>
        <w:spacing w:line="360" w:lineRule="auto"/>
        <w:ind w:firstLine="1079" w:firstLineChars="448"/>
        <w:rPr>
          <w:rFonts w:hint="eastAsia" w:hAnsi="宋体" w:cs="宋体"/>
          <w:b/>
          <w:sz w:val="24"/>
          <w:szCs w:val="28"/>
          <w:u w:val="thick"/>
        </w:rPr>
      </w:pPr>
      <w:bookmarkStart w:id="9" w:name="_Toc30247"/>
      <w:bookmarkStart w:id="10" w:name="_Toc15848"/>
      <w:r>
        <w:rPr>
          <w:rFonts w:hint="eastAsia" w:hAnsi="宋体" w:cs="宋体"/>
          <w:b/>
          <w:sz w:val="24"/>
          <w:szCs w:val="28"/>
        </w:rPr>
        <w:t>项目编号：</w:t>
      </w:r>
      <w:bookmarkEnd w:id="9"/>
      <w:bookmarkEnd w:id="10"/>
      <w:r>
        <w:rPr>
          <w:rFonts w:hint="eastAsia" w:hAnsi="宋体" w:cs="宋体"/>
          <w:b/>
          <w:sz w:val="24"/>
          <w:szCs w:val="28"/>
          <w:u w:val="thick"/>
        </w:rPr>
        <w:t xml:space="preserve">                       </w:t>
      </w:r>
    </w:p>
    <w:p>
      <w:pPr>
        <w:pStyle w:val="12"/>
        <w:spacing w:line="360" w:lineRule="auto"/>
        <w:ind w:firstLine="1079" w:firstLineChars="448"/>
        <w:rPr>
          <w:rFonts w:hint="eastAsia" w:hAnsi="宋体" w:cs="宋体"/>
          <w:b/>
          <w:sz w:val="24"/>
          <w:szCs w:val="28"/>
          <w:u w:val="single"/>
        </w:rPr>
      </w:pPr>
      <w:bookmarkStart w:id="11" w:name="_Toc14520"/>
      <w:bookmarkStart w:id="12" w:name="_Toc32471"/>
      <w:r>
        <w:rPr>
          <w:rFonts w:hint="eastAsia" w:hAnsi="宋体" w:cs="宋体"/>
          <w:b/>
          <w:sz w:val="24"/>
          <w:szCs w:val="28"/>
        </w:rPr>
        <w:t>项目名称：</w:t>
      </w:r>
      <w:bookmarkEnd w:id="11"/>
      <w:bookmarkEnd w:id="12"/>
      <w:r>
        <w:rPr>
          <w:rFonts w:hint="eastAsia" w:hAnsi="宋体" w:cs="宋体"/>
          <w:b/>
          <w:sz w:val="24"/>
          <w:szCs w:val="28"/>
          <w:u w:val="single"/>
        </w:rPr>
        <w:t xml:space="preserve">                       </w:t>
      </w:r>
    </w:p>
    <w:p>
      <w:pPr>
        <w:pStyle w:val="12"/>
        <w:ind w:firstLine="1234" w:firstLineChars="512"/>
        <w:rPr>
          <w:rFonts w:hint="eastAsia" w:hAnsi="宋体" w:cs="宋体"/>
          <w:b/>
          <w:sz w:val="24"/>
          <w:szCs w:val="28"/>
        </w:rPr>
      </w:pPr>
    </w:p>
    <w:p>
      <w:pPr>
        <w:pStyle w:val="12"/>
        <w:ind w:firstLine="2056" w:firstLineChars="512"/>
        <w:rPr>
          <w:rFonts w:hint="eastAsia" w:hAnsi="宋体" w:cs="宋体"/>
          <w:b/>
          <w:sz w:val="40"/>
          <w:szCs w:val="44"/>
        </w:rPr>
      </w:pPr>
    </w:p>
    <w:p>
      <w:pPr>
        <w:pStyle w:val="12"/>
        <w:ind w:firstLine="2056" w:firstLineChars="512"/>
        <w:rPr>
          <w:rFonts w:hint="eastAsia" w:hAnsi="宋体" w:cs="宋体"/>
          <w:b/>
          <w:sz w:val="40"/>
          <w:szCs w:val="44"/>
        </w:rPr>
      </w:pPr>
    </w:p>
    <w:p>
      <w:pPr>
        <w:pStyle w:val="12"/>
        <w:ind w:firstLine="2056" w:firstLineChars="512"/>
        <w:rPr>
          <w:rFonts w:hint="eastAsia" w:hAnsi="宋体" w:cs="宋体"/>
          <w:b/>
          <w:sz w:val="40"/>
          <w:szCs w:val="44"/>
        </w:rPr>
      </w:pPr>
    </w:p>
    <w:p>
      <w:pPr>
        <w:pStyle w:val="12"/>
        <w:ind w:firstLine="2056" w:firstLineChars="512"/>
        <w:rPr>
          <w:rFonts w:hint="eastAsia" w:hAnsi="宋体" w:cs="宋体"/>
          <w:b/>
          <w:sz w:val="40"/>
          <w:szCs w:val="44"/>
        </w:rPr>
      </w:pPr>
    </w:p>
    <w:p>
      <w:pPr>
        <w:pStyle w:val="12"/>
        <w:spacing w:line="360" w:lineRule="auto"/>
        <w:ind w:firstLine="1234" w:firstLineChars="512"/>
        <w:rPr>
          <w:rFonts w:hint="eastAsia" w:hAnsi="宋体" w:cs="宋体"/>
          <w:b/>
          <w:sz w:val="24"/>
          <w:szCs w:val="28"/>
          <w:u w:val="single"/>
        </w:rPr>
      </w:pPr>
      <w:bookmarkStart w:id="13" w:name="_Toc14406"/>
      <w:bookmarkStart w:id="14" w:name="_Toc14647"/>
      <w:r>
        <w:rPr>
          <w:rFonts w:hint="eastAsia" w:hAnsi="宋体" w:cs="宋体"/>
          <w:b/>
          <w:sz w:val="24"/>
          <w:szCs w:val="28"/>
        </w:rPr>
        <w:t>投标人名称（盖章）：</w:t>
      </w:r>
      <w:bookmarkEnd w:id="13"/>
      <w:bookmarkEnd w:id="14"/>
      <w:r>
        <w:rPr>
          <w:rFonts w:hint="eastAsia" w:hAnsi="宋体" w:cs="宋体"/>
          <w:b/>
          <w:sz w:val="24"/>
          <w:szCs w:val="28"/>
          <w:u w:val="single"/>
        </w:rPr>
        <w:t xml:space="preserve">                          </w:t>
      </w:r>
    </w:p>
    <w:p>
      <w:pPr>
        <w:autoSpaceDE w:val="0"/>
        <w:autoSpaceDN w:val="0"/>
        <w:spacing w:line="240" w:lineRule="atLeast"/>
        <w:ind w:firstLine="1234" w:firstLineChars="512"/>
        <w:rPr>
          <w:rFonts w:hint="eastAsia" w:ascii="宋体" w:hAnsi="宋体" w:cs="宋体"/>
          <w:b/>
          <w:sz w:val="24"/>
          <w:szCs w:val="28"/>
          <w:u w:val="single"/>
        </w:rPr>
      </w:pPr>
      <w:bookmarkStart w:id="15" w:name="_Toc4787"/>
      <w:bookmarkStart w:id="16" w:name="_Toc30455"/>
      <w:r>
        <w:rPr>
          <w:rFonts w:hint="eastAsia" w:ascii="宋体" w:hAnsi="宋体" w:cs="宋体"/>
          <w:b/>
          <w:sz w:val="24"/>
          <w:szCs w:val="28"/>
        </w:rPr>
        <w:t>日      期：</w:t>
      </w:r>
      <w:r>
        <w:rPr>
          <w:rFonts w:hint="eastAsia" w:ascii="宋体" w:hAnsi="宋体" w:cs="宋体"/>
          <w:b/>
          <w:sz w:val="24"/>
          <w:szCs w:val="28"/>
          <w:u w:val="single"/>
        </w:rPr>
        <w:t xml:space="preserve">          </w:t>
      </w:r>
      <w:r>
        <w:rPr>
          <w:rFonts w:hint="eastAsia" w:ascii="宋体" w:hAnsi="宋体" w:cs="宋体"/>
          <w:b/>
          <w:sz w:val="24"/>
          <w:szCs w:val="28"/>
        </w:rPr>
        <w:t>年</w:t>
      </w:r>
      <w:r>
        <w:rPr>
          <w:rFonts w:hint="eastAsia" w:ascii="宋体" w:hAnsi="宋体" w:cs="宋体"/>
          <w:b/>
          <w:sz w:val="24"/>
          <w:szCs w:val="28"/>
          <w:u w:val="single"/>
        </w:rPr>
        <w:t xml:space="preserve">     </w:t>
      </w:r>
      <w:r>
        <w:rPr>
          <w:rFonts w:hint="eastAsia" w:ascii="宋体" w:hAnsi="宋体" w:cs="宋体"/>
          <w:b/>
          <w:sz w:val="24"/>
          <w:szCs w:val="28"/>
        </w:rPr>
        <w:t>月</w:t>
      </w:r>
      <w:r>
        <w:rPr>
          <w:rFonts w:hint="eastAsia" w:ascii="宋体" w:hAnsi="宋体" w:cs="宋体"/>
          <w:b/>
          <w:sz w:val="24"/>
          <w:szCs w:val="28"/>
          <w:u w:val="single"/>
        </w:rPr>
        <w:t xml:space="preserve">     </w:t>
      </w:r>
      <w:r>
        <w:rPr>
          <w:rFonts w:hint="eastAsia" w:ascii="宋体" w:hAnsi="宋体" w:cs="宋体"/>
          <w:b/>
          <w:sz w:val="24"/>
          <w:szCs w:val="28"/>
        </w:rPr>
        <w:t>日</w:t>
      </w:r>
      <w:bookmarkEnd w:id="15"/>
      <w:bookmarkEnd w:id="16"/>
    </w:p>
    <w:p>
      <w:pPr>
        <w:rPr>
          <w:rFonts w:hint="eastAsia" w:ascii="宋体" w:hAnsi="宋体" w:cs="宋体"/>
          <w:sz w:val="44"/>
          <w:szCs w:val="44"/>
        </w:rPr>
      </w:pPr>
    </w:p>
    <w:p>
      <w:pPr>
        <w:widowControl/>
        <w:autoSpaceDE w:val="0"/>
        <w:autoSpaceDN w:val="0"/>
        <w:adjustRightInd w:val="0"/>
        <w:snapToGrid w:val="0"/>
        <w:spacing w:before="0" w:after="0" w:line="360" w:lineRule="auto"/>
        <w:ind w:left="0" w:right="0"/>
        <w:jc w:val="center"/>
        <w:rPr>
          <w:rFonts w:hint="eastAsia" w:ascii="宋体" w:hAnsi="宋体" w:cs="Times New Roman"/>
          <w:b/>
          <w:color w:val="auto"/>
          <w:sz w:val="24"/>
          <w:szCs w:val="24"/>
          <w:highlight w:val="none"/>
          <w:lang w:val="en-US" w:bidi="ar-SA"/>
        </w:rPr>
      </w:pPr>
      <w:r>
        <w:rPr>
          <w:rFonts w:hint="eastAsia" w:ascii="宋体" w:hAnsi="宋体" w:cs="宋体"/>
        </w:rPr>
        <w:br w:type="page"/>
      </w:r>
      <w:bookmarkStart w:id="17" w:name="_Toc202251704"/>
      <w:bookmarkStart w:id="18" w:name="_Toc22728"/>
      <w:bookmarkStart w:id="19" w:name="_Toc20229"/>
      <w:bookmarkStart w:id="20" w:name="_Toc202819884"/>
      <w:bookmarkStart w:id="21" w:name="_Toc202820357"/>
      <w:bookmarkStart w:id="22" w:name="_Toc3272"/>
      <w:bookmarkStart w:id="23" w:name="_Toc202254110"/>
      <w:bookmarkStart w:id="24" w:name="_Toc21657"/>
      <w:bookmarkStart w:id="25" w:name="_Toc202252039"/>
      <w:bookmarkStart w:id="26" w:name="_Toc202251079"/>
      <w:bookmarkStart w:id="27" w:name="_Toc202817002"/>
    </w:p>
    <w:p>
      <w:pPr>
        <w:widowControl w:val="0"/>
        <w:spacing w:line="240" w:lineRule="auto"/>
        <w:ind w:firstLine="0" w:firstLineChars="0"/>
        <w:jc w:val="both"/>
        <w:rPr>
          <w:rFonts w:ascii="Calibri" w:hAnsi="Calibri" w:eastAsia="宋体" w:cs="Times New Roman"/>
          <w:b/>
          <w:color w:val="auto"/>
          <w:sz w:val="28"/>
          <w:highlight w:val="none"/>
          <w:lang w:val="en-US" w:eastAsia="zh-CN" w:bidi="ar-SA"/>
        </w:rPr>
      </w:pPr>
      <w:bookmarkStart w:id="28" w:name="_Toc202819877"/>
      <w:bookmarkStart w:id="29" w:name="_Toc202254104"/>
      <w:bookmarkStart w:id="30" w:name="_Toc202816995"/>
      <w:bookmarkStart w:id="31" w:name="_Toc202251074"/>
      <w:bookmarkStart w:id="32" w:name="_Toc202251699"/>
      <w:bookmarkStart w:id="33" w:name="_Toc202820350"/>
      <w:bookmarkStart w:id="34" w:name="_Toc202252033"/>
      <w:r>
        <w:rPr>
          <w:rFonts w:hint="eastAsia" w:ascii="Calibri" w:hAnsi="Calibri" w:eastAsia="宋体" w:cs="Times New Roman"/>
          <w:b/>
          <w:color w:val="auto"/>
          <w:sz w:val="28"/>
          <w:highlight w:val="none"/>
          <w:lang w:val="en-US" w:eastAsia="zh-CN" w:bidi="ar-SA"/>
        </w:rPr>
        <w:t>一、自查表</w:t>
      </w:r>
      <w:bookmarkEnd w:id="28"/>
      <w:bookmarkEnd w:id="29"/>
      <w:bookmarkEnd w:id="30"/>
      <w:bookmarkEnd w:id="31"/>
      <w:bookmarkEnd w:id="32"/>
      <w:bookmarkEnd w:id="33"/>
      <w:bookmarkEnd w:id="34"/>
    </w:p>
    <w:p>
      <w:pPr>
        <w:widowControl w:val="0"/>
        <w:spacing w:after="0" w:line="360" w:lineRule="auto"/>
        <w:jc w:val="center"/>
        <w:rPr>
          <w:rFonts w:ascii="宋体" w:hAnsi="宋体" w:eastAsia="宋体" w:cs="宋体"/>
          <w:b/>
          <w:color w:val="auto"/>
          <w:kern w:val="2"/>
          <w:sz w:val="24"/>
          <w:szCs w:val="24"/>
          <w:highlight w:val="none"/>
          <w:lang w:val="en-US" w:eastAsia="zh-CN" w:bidi="ar-SA"/>
        </w:rPr>
      </w:pPr>
      <w:r>
        <w:rPr>
          <w:rFonts w:hint="eastAsia" w:ascii="宋体" w:hAnsi="宋体" w:cs="宋体"/>
          <w:b/>
          <w:color w:val="auto"/>
          <w:sz w:val="24"/>
          <w:szCs w:val="24"/>
          <w:highlight w:val="none"/>
          <w:lang w:val="en-US" w:eastAsia="zh-CN"/>
        </w:rPr>
        <w:t>1.1资格</w:t>
      </w:r>
      <w:r>
        <w:rPr>
          <w:rFonts w:hint="eastAsia" w:ascii="宋体" w:hAnsi="宋体" w:eastAsia="宋体" w:cs="宋体"/>
          <w:b/>
          <w:color w:val="auto"/>
          <w:kern w:val="2"/>
          <w:sz w:val="24"/>
          <w:szCs w:val="24"/>
          <w:highlight w:val="none"/>
          <w:lang w:val="en-US" w:eastAsia="zh-CN" w:bidi="ar-SA"/>
        </w:rPr>
        <w:t>性、符合性自查表</w:t>
      </w:r>
    </w:p>
    <w:tbl>
      <w:tblPr>
        <w:tblStyle w:val="19"/>
        <w:tblW w:w="9857" w:type="dxa"/>
        <w:tblInd w:w="-28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57" w:type="dxa"/>
          <w:bottom w:w="57" w:type="dxa"/>
          <w:right w:w="57" w:type="dxa"/>
        </w:tblCellMar>
      </w:tblPr>
      <w:tblGrid>
        <w:gridCol w:w="560"/>
        <w:gridCol w:w="7113"/>
        <w:gridCol w:w="1033"/>
        <w:gridCol w:w="11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529"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auto"/>
              <w:ind w:left="0" w:right="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序号</w:t>
            </w:r>
          </w:p>
        </w:tc>
        <w:tc>
          <w:tcPr>
            <w:tcW w:w="7113" w:type="dxa"/>
            <w:tcBorders>
              <w:left w:val="single" w:color="auto" w:sz="4" w:space="0"/>
            </w:tcBorders>
            <w:vAlign w:val="center"/>
          </w:tcPr>
          <w:p>
            <w:pPr>
              <w:widowControl/>
              <w:autoSpaceDE/>
              <w:autoSpaceDN/>
              <w:spacing w:before="0" w:after="0" w:line="240" w:lineRule="auto"/>
              <w:ind w:left="0" w:right="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审查内容</w:t>
            </w:r>
          </w:p>
        </w:tc>
        <w:tc>
          <w:tcPr>
            <w:tcW w:w="1033" w:type="dxa"/>
            <w:tcMar>
              <w:top w:w="57" w:type="dxa"/>
              <w:left w:w="57" w:type="dxa"/>
              <w:bottom w:w="57" w:type="dxa"/>
              <w:right w:w="57" w:type="dxa"/>
            </w:tcMar>
            <w:vAlign w:val="center"/>
          </w:tcPr>
          <w:p>
            <w:pPr>
              <w:widowControl/>
              <w:autoSpaceDE/>
              <w:autoSpaceDN/>
              <w:spacing w:before="0" w:after="0" w:line="240" w:lineRule="auto"/>
              <w:ind w:left="0" w:right="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自查结论</w:t>
            </w:r>
          </w:p>
        </w:tc>
        <w:tc>
          <w:tcPr>
            <w:tcW w:w="1151" w:type="dxa"/>
            <w:vAlign w:val="center"/>
          </w:tcPr>
          <w:p>
            <w:pPr>
              <w:widowControl/>
              <w:autoSpaceDE/>
              <w:autoSpaceDN/>
              <w:spacing w:before="0" w:after="0" w:line="240" w:lineRule="auto"/>
              <w:ind w:left="0" w:right="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证明材料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leftChars="0" w:right="0" w:rightChars="0"/>
              <w:jc w:val="center"/>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bidi="ar-SA"/>
              </w:rPr>
              <w:t>1</w:t>
            </w:r>
          </w:p>
        </w:tc>
        <w:tc>
          <w:tcPr>
            <w:tcW w:w="7113" w:type="dxa"/>
            <w:tcBorders>
              <w:left w:val="single" w:color="auto" w:sz="4" w:space="0"/>
            </w:tcBorders>
            <w:vAlign w:val="center"/>
          </w:tcPr>
          <w:p>
            <w:pPr>
              <w:widowControl/>
              <w:autoSpaceDE/>
              <w:autoSpaceDN/>
              <w:spacing w:before="0" w:after="0" w:line="240" w:lineRule="exact"/>
              <w:ind w:left="0" w:right="0"/>
              <w:jc w:val="left"/>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符合《中华人民共和国政府采购法》第二十二条规定的条件。</w:t>
            </w:r>
          </w:p>
          <w:p>
            <w:pPr>
              <w:widowControl/>
              <w:autoSpaceDE/>
              <w:autoSpaceDN/>
              <w:spacing w:before="0" w:after="0" w:line="240" w:lineRule="exact"/>
              <w:ind w:left="0" w:right="0"/>
              <w:jc w:val="left"/>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1）具有独立承担民事责任的能力：在中华人民共和国境内注册的法人或其他组织或自然人，投标（响应）时提交有效的营业执照（或事业法人登记证或身份证等相关证明）复印件。分支机构投标的，须提供总公司和分公司营业执照复印件，总公司出具给分支机构的授权书。</w:t>
            </w:r>
          </w:p>
          <w:p>
            <w:pPr>
              <w:widowControl/>
              <w:autoSpaceDE/>
              <w:autoSpaceDN/>
              <w:spacing w:before="0" w:after="0" w:line="240" w:lineRule="exact"/>
              <w:ind w:left="0" w:right="0"/>
              <w:jc w:val="left"/>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（2）有依法缴纳税收和社会保障资金的良好记录：提供《投标人资格声明函》。</w:t>
            </w:r>
          </w:p>
          <w:p>
            <w:pPr>
              <w:widowControl/>
              <w:autoSpaceDE/>
              <w:autoSpaceDN/>
              <w:spacing w:before="0" w:after="0" w:line="240" w:lineRule="exact"/>
              <w:ind w:left="0" w:right="0"/>
              <w:jc w:val="left"/>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（3）具有良好的商业信誉和健全的财务会计制度：提供《投标人资格声明函》。</w:t>
            </w:r>
          </w:p>
          <w:p>
            <w:pPr>
              <w:widowControl/>
              <w:autoSpaceDE/>
              <w:autoSpaceDN/>
              <w:spacing w:before="0" w:after="0" w:line="240" w:lineRule="exact"/>
              <w:ind w:left="0" w:right="0"/>
              <w:jc w:val="left"/>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（4）履行合同所必需的设备和专业技术能力：提供《投标人资格声明函》。</w:t>
            </w:r>
          </w:p>
          <w:p>
            <w:pPr>
              <w:widowControl/>
              <w:autoSpaceDE/>
              <w:autoSpaceDN/>
              <w:spacing w:before="0" w:after="0" w:line="240" w:lineRule="exact"/>
              <w:ind w:left="0" w:leftChars="0" w:right="0" w:rightChars="0"/>
              <w:jc w:val="left"/>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（5）参加采购活动前3年内，在经营活动中没有重大违法记录：提供《投标人资格声明函》。</w:t>
            </w:r>
          </w:p>
        </w:tc>
        <w:tc>
          <w:tcPr>
            <w:tcW w:w="1033" w:type="dxa"/>
            <w:tcMar>
              <w:top w:w="57" w:type="dxa"/>
              <w:left w:w="57" w:type="dxa"/>
              <w:bottom w:w="57" w:type="dxa"/>
              <w:right w:w="57" w:type="dxa"/>
            </w:tcMar>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171" w:right="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□不通过</w:t>
            </w:r>
          </w:p>
        </w:tc>
        <w:tc>
          <w:tcPr>
            <w:tcW w:w="1151" w:type="dxa"/>
            <w:vAlign w:val="center"/>
          </w:tcPr>
          <w:p>
            <w:pPr>
              <w:widowControl/>
              <w:autoSpaceDE/>
              <w:autoSpaceDN/>
              <w:spacing w:before="0" w:after="0" w:line="240" w:lineRule="auto"/>
              <w:ind w:left="42" w:leftChars="19" w:right="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见响应文件第（）页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leftChars="0" w:right="0" w:rightChars="0"/>
              <w:jc w:val="center"/>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2</w:t>
            </w:r>
          </w:p>
        </w:tc>
        <w:tc>
          <w:tcPr>
            <w:tcW w:w="7113" w:type="dxa"/>
            <w:tcBorders>
              <w:left w:val="single" w:color="auto" w:sz="4" w:space="0"/>
            </w:tcBorders>
            <w:vAlign w:val="center"/>
          </w:tcPr>
          <w:p>
            <w:pPr>
              <w:widowControl/>
              <w:autoSpaceDE/>
              <w:autoSpaceDN/>
              <w:spacing w:before="0" w:after="0" w:line="240" w:lineRule="exact"/>
              <w:ind w:left="0" w:leftChars="0" w:right="0" w:rightChars="0"/>
              <w:jc w:val="left"/>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本项目专门面向中小企业采购，供应商应为中小微企业、监狱企业、残疾人福利性单位。（提供《中小企业声明函》或属于监狱企业的证明材料或《残疾人福利性单位声明函》）</w:t>
            </w:r>
          </w:p>
        </w:tc>
        <w:tc>
          <w:tcPr>
            <w:tcW w:w="1033" w:type="dxa"/>
            <w:tcMar>
              <w:top w:w="57" w:type="dxa"/>
              <w:left w:w="57" w:type="dxa"/>
              <w:bottom w:w="57" w:type="dxa"/>
              <w:right w:w="57" w:type="dxa"/>
            </w:tcMar>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171" w:leftChars="0" w:right="0" w:rightChars="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□不通过</w:t>
            </w:r>
          </w:p>
        </w:tc>
        <w:tc>
          <w:tcPr>
            <w:tcW w:w="1151" w:type="dxa"/>
            <w:vAlign w:val="center"/>
          </w:tcPr>
          <w:p>
            <w:pPr>
              <w:widowControl/>
              <w:autoSpaceDE/>
              <w:autoSpaceDN/>
              <w:spacing w:before="0" w:after="0" w:line="240" w:lineRule="auto"/>
              <w:ind w:left="42" w:leftChars="19" w:right="0" w:rightChars="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见响应文件第（）页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leftChars="0" w:right="0" w:rightChars="0"/>
              <w:jc w:val="center"/>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3</w:t>
            </w:r>
          </w:p>
        </w:tc>
        <w:tc>
          <w:tcPr>
            <w:tcW w:w="7113" w:type="dxa"/>
            <w:tcBorders>
              <w:left w:val="single" w:color="auto" w:sz="4" w:space="0"/>
            </w:tcBorders>
            <w:vAlign w:val="center"/>
          </w:tcPr>
          <w:p>
            <w:pPr>
              <w:widowControl/>
              <w:autoSpaceDE/>
              <w:autoSpaceDN/>
              <w:spacing w:before="0" w:after="0" w:line="240" w:lineRule="exact"/>
              <w:ind w:left="0" w:leftChars="0" w:right="0" w:rightChars="0"/>
              <w:jc w:val="left"/>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供应商未列入“信用中国”网站(www.creditchina.gov.cn)“记录失信被执行人或重大税收违法案件当事人名单或政府采购严重违法失信行为”的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033" w:type="dxa"/>
            <w:tcMar>
              <w:top w:w="57" w:type="dxa"/>
              <w:left w:w="57" w:type="dxa"/>
              <w:bottom w:w="57" w:type="dxa"/>
              <w:right w:w="57" w:type="dxa"/>
            </w:tcMar>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171" w:leftChars="0" w:right="0" w:rightChars="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□不通过</w:t>
            </w:r>
          </w:p>
        </w:tc>
        <w:tc>
          <w:tcPr>
            <w:tcW w:w="1151" w:type="dxa"/>
            <w:vAlign w:val="center"/>
          </w:tcPr>
          <w:p>
            <w:pPr>
              <w:widowControl/>
              <w:autoSpaceDE/>
              <w:autoSpaceDN/>
              <w:spacing w:before="0" w:after="0" w:line="240" w:lineRule="auto"/>
              <w:ind w:left="42" w:leftChars="19" w:right="0" w:rightChars="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见响应文件第（）页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20" w:lineRule="exact"/>
              <w:ind w:left="0" w:leftChars="0" w:right="0" w:rightChars="0"/>
              <w:jc w:val="center"/>
              <w:rPr>
                <w:rFonts w:ascii="宋体" w:hAnsi="宋体" w:cs="宋体"/>
                <w:color w:val="auto"/>
                <w:sz w:val="21"/>
                <w:szCs w:val="21"/>
                <w:highlight w:val="none"/>
                <w:lang w:val="en-US" w:bidi="ar-SA"/>
              </w:rPr>
            </w:pPr>
            <w:r>
              <w:rPr>
                <w:rFonts w:ascii="宋体" w:hAnsi="宋体" w:cs="宋体"/>
                <w:color w:val="auto"/>
                <w:sz w:val="21"/>
                <w:szCs w:val="21"/>
                <w:highlight w:val="none"/>
                <w:lang w:val="en-US" w:bidi="ar-SA"/>
              </w:rPr>
              <w:t>4</w:t>
            </w:r>
          </w:p>
        </w:tc>
        <w:tc>
          <w:tcPr>
            <w:tcW w:w="7113" w:type="dxa"/>
            <w:tcBorders>
              <w:left w:val="single" w:color="auto" w:sz="4" w:space="0"/>
            </w:tcBorders>
            <w:vAlign w:val="center"/>
          </w:tcPr>
          <w:p>
            <w:pPr>
              <w:widowControl/>
              <w:autoSpaceDE/>
              <w:autoSpaceDN/>
              <w:spacing w:before="0" w:after="0" w:line="240" w:lineRule="exact"/>
              <w:ind w:left="0" w:leftChars="0" w:right="0" w:rightChars="0"/>
              <w:jc w:val="left"/>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单位负责人为同一人或者存在直接控股、管理关系的不同供应商，不得同时参加本采购项目投标（响应）。为本项目提供整体设计、规范编制或者项目管理、监理、检测等服务的供应商，不得再参与本项目投标（响应）：提供《投标人资格声明函》。</w:t>
            </w:r>
          </w:p>
        </w:tc>
        <w:tc>
          <w:tcPr>
            <w:tcW w:w="1033" w:type="dxa"/>
            <w:tcMar>
              <w:top w:w="57" w:type="dxa"/>
              <w:left w:w="57" w:type="dxa"/>
              <w:bottom w:w="57" w:type="dxa"/>
              <w:right w:w="57" w:type="dxa"/>
            </w:tcMar>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171" w:leftChars="0" w:right="0" w:rightChars="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□不通过</w:t>
            </w:r>
          </w:p>
        </w:tc>
        <w:tc>
          <w:tcPr>
            <w:tcW w:w="1151" w:type="dxa"/>
            <w:vAlign w:val="center"/>
          </w:tcPr>
          <w:p>
            <w:pPr>
              <w:widowControl/>
              <w:autoSpaceDE/>
              <w:autoSpaceDN/>
              <w:spacing w:before="0" w:after="0" w:line="240" w:lineRule="auto"/>
              <w:ind w:left="42" w:leftChars="19" w:right="0" w:rightChars="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见响应文件第（）页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358"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20" w:lineRule="exact"/>
              <w:ind w:left="0" w:leftChars="0" w:right="0" w:rightChars="0"/>
              <w:jc w:val="center"/>
              <w:rPr>
                <w:rFonts w:hint="eastAsia" w:ascii="宋体" w:hAnsi="宋体" w:eastAsia="宋体" w:cs="宋体"/>
                <w:color w:val="auto"/>
                <w:sz w:val="21"/>
                <w:szCs w:val="21"/>
                <w:highlight w:val="none"/>
                <w:lang w:val="en-US" w:eastAsia="zh-CN" w:bidi="ar-SA"/>
              </w:rPr>
            </w:pPr>
            <w:r>
              <w:rPr>
                <w:rFonts w:hint="eastAsia" w:cs="宋体"/>
                <w:color w:val="auto"/>
                <w:sz w:val="21"/>
                <w:szCs w:val="21"/>
                <w:highlight w:val="none"/>
                <w:lang w:val="en-US" w:eastAsia="zh-CN" w:bidi="ar-SA"/>
              </w:rPr>
              <w:t>5</w:t>
            </w:r>
          </w:p>
        </w:tc>
        <w:tc>
          <w:tcPr>
            <w:tcW w:w="7113" w:type="dxa"/>
            <w:tcBorders>
              <w:left w:val="single" w:color="auto" w:sz="4" w:space="0"/>
            </w:tcBorders>
            <w:vAlign w:val="center"/>
          </w:tcPr>
          <w:p>
            <w:pPr>
              <w:widowControl/>
              <w:autoSpaceDE/>
              <w:autoSpaceDN/>
              <w:spacing w:before="0" w:after="0" w:line="240" w:lineRule="exact"/>
              <w:ind w:left="0" w:leftChars="0" w:right="0" w:rightChars="0"/>
              <w:jc w:val="left"/>
              <w:rPr>
                <w:rFonts w:hint="eastAsia" w:ascii="宋体" w:hAnsi="宋体" w:cs="宋体"/>
                <w:color w:val="auto"/>
                <w:sz w:val="21"/>
                <w:szCs w:val="21"/>
                <w:highlight w:val="none"/>
                <w:lang w:val="en-US" w:eastAsia="zh-CN" w:bidi="ar-SA"/>
              </w:rPr>
            </w:pPr>
            <w:r>
              <w:rPr>
                <w:rFonts w:hint="eastAsia" w:ascii="宋体" w:hAnsi="宋体" w:cs="宋体"/>
                <w:color w:val="auto"/>
                <w:sz w:val="21"/>
                <w:szCs w:val="21"/>
                <w:highlight w:val="none"/>
                <w:lang w:val="en-US" w:bidi="ar-SA"/>
              </w:rPr>
              <w:t>按照招标文件规定要求签署、盖章且投标文件有法定代表人签字或盖个人名章（或签字人有法定代表人有效授权书）的</w:t>
            </w:r>
            <w:r>
              <w:rPr>
                <w:rFonts w:hint="eastAsia" w:cs="宋体"/>
                <w:color w:val="auto"/>
                <w:sz w:val="21"/>
                <w:szCs w:val="21"/>
                <w:highlight w:val="none"/>
                <w:lang w:val="en-US" w:eastAsia="zh-CN" w:bidi="ar-SA"/>
              </w:rPr>
              <w:t>。</w:t>
            </w:r>
          </w:p>
        </w:tc>
        <w:tc>
          <w:tcPr>
            <w:tcW w:w="1033" w:type="dxa"/>
            <w:shd w:val="clear" w:color="auto" w:fill="auto"/>
            <w:tcMar>
              <w:top w:w="57" w:type="dxa"/>
              <w:left w:w="57" w:type="dxa"/>
              <w:bottom w:w="57" w:type="dxa"/>
              <w:right w:w="57" w:type="dxa"/>
            </w:tcMar>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cs="宋体"/>
                <w:color w:val="auto"/>
                <w:sz w:val="21"/>
                <w:szCs w:val="20"/>
                <w:highlight w:val="none"/>
                <w:lang w:val="en-US" w:eastAsia="zh-CN" w:bidi="ar-SA"/>
              </w:rPr>
              <w:t>□</w:t>
            </w: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171" w:leftChars="0" w:right="0" w:rightChars="0"/>
              <w:jc w:val="center"/>
              <w:rPr>
                <w:rFonts w:hint="eastAsia" w:ascii="宋体" w:hAnsi="宋体" w:eastAsia="宋体" w:cs="宋体"/>
                <w:color w:val="auto"/>
                <w:sz w:val="21"/>
                <w:szCs w:val="20"/>
                <w:highlight w:val="none"/>
                <w:lang w:val="en-US" w:eastAsia="zh-CN" w:bidi="ar-SA"/>
              </w:rPr>
            </w:pPr>
            <w:r>
              <w:rPr>
                <w:rFonts w:hint="eastAsia" w:ascii="宋体" w:hAnsi="宋体" w:cs="宋体"/>
                <w:color w:val="auto"/>
                <w:sz w:val="21"/>
                <w:szCs w:val="20"/>
                <w:highlight w:val="none"/>
                <w:lang w:val="en-US" w:bidi="ar-SA"/>
              </w:rPr>
              <w:t>□不通过</w:t>
            </w:r>
          </w:p>
        </w:tc>
        <w:tc>
          <w:tcPr>
            <w:tcW w:w="1151" w:type="dxa"/>
            <w:shd w:val="clear" w:color="auto" w:fill="auto"/>
            <w:vAlign w:val="center"/>
          </w:tcPr>
          <w:p>
            <w:pPr>
              <w:widowControl/>
              <w:autoSpaceDE/>
              <w:autoSpaceDN/>
              <w:spacing w:before="0" w:after="0" w:line="240" w:lineRule="auto"/>
              <w:ind w:left="42" w:leftChars="19" w:right="0" w:rightChars="0"/>
              <w:jc w:val="center"/>
              <w:rPr>
                <w:rFonts w:hint="eastAsia" w:ascii="宋体" w:hAnsi="宋体" w:eastAsia="宋体" w:cs="宋体"/>
                <w:color w:val="auto"/>
                <w:sz w:val="21"/>
                <w:szCs w:val="20"/>
                <w:highlight w:val="none"/>
                <w:lang w:val="en-US" w:eastAsia="zh-CN" w:bidi="ar-SA"/>
              </w:rPr>
            </w:pPr>
            <w:r>
              <w:rPr>
                <w:rFonts w:hint="eastAsia" w:ascii="宋体" w:hAnsi="宋体" w:cs="宋体"/>
                <w:color w:val="auto"/>
                <w:sz w:val="21"/>
                <w:szCs w:val="20"/>
                <w:highlight w:val="none"/>
                <w:lang w:val="en-US" w:bidi="ar-SA"/>
              </w:rPr>
              <w:t>见响应文件第（）页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20" w:lineRule="exact"/>
              <w:ind w:left="0" w:leftChars="0" w:right="0" w:rightChars="0"/>
              <w:jc w:val="center"/>
              <w:rPr>
                <w:rFonts w:hint="default" w:cs="宋体"/>
                <w:color w:val="auto"/>
                <w:sz w:val="21"/>
                <w:szCs w:val="21"/>
                <w:highlight w:val="none"/>
                <w:lang w:val="en-US" w:eastAsia="zh-CN" w:bidi="ar-SA"/>
              </w:rPr>
            </w:pPr>
            <w:r>
              <w:rPr>
                <w:rFonts w:hint="eastAsia" w:cs="宋体"/>
                <w:color w:val="auto"/>
                <w:sz w:val="21"/>
                <w:szCs w:val="21"/>
                <w:highlight w:val="none"/>
                <w:lang w:val="en-US" w:eastAsia="zh-CN" w:bidi="ar-SA"/>
              </w:rPr>
              <w:t>6</w:t>
            </w:r>
          </w:p>
        </w:tc>
        <w:tc>
          <w:tcPr>
            <w:tcW w:w="7113" w:type="dxa"/>
            <w:tcBorders>
              <w:left w:val="single" w:color="auto" w:sz="4" w:space="0"/>
            </w:tcBorders>
            <w:vAlign w:val="center"/>
          </w:tcPr>
          <w:p>
            <w:pPr>
              <w:widowControl/>
              <w:autoSpaceDE/>
              <w:autoSpaceDN/>
              <w:spacing w:before="0" w:after="0" w:line="240" w:lineRule="exact"/>
              <w:ind w:left="0" w:leftChars="0" w:right="0" w:rightChars="0"/>
              <w:jc w:val="left"/>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投标文件完全响应招标文件的实质性条款（即标注★号条款）无负偏离。</w:t>
            </w:r>
          </w:p>
        </w:tc>
        <w:tc>
          <w:tcPr>
            <w:tcW w:w="1033" w:type="dxa"/>
            <w:shd w:val="clear" w:color="auto" w:fill="auto"/>
            <w:tcMar>
              <w:top w:w="57" w:type="dxa"/>
              <w:left w:w="57" w:type="dxa"/>
              <w:bottom w:w="57" w:type="dxa"/>
              <w:right w:w="57" w:type="dxa"/>
            </w:tcMar>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171" w:leftChars="0" w:right="0" w:rightChars="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□不通过</w:t>
            </w:r>
          </w:p>
        </w:tc>
        <w:tc>
          <w:tcPr>
            <w:tcW w:w="1151" w:type="dxa"/>
            <w:shd w:val="clear" w:color="auto" w:fill="auto"/>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42" w:leftChars="19" w:right="0" w:rightChars="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□不通过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20" w:lineRule="exact"/>
              <w:ind w:left="0" w:leftChars="0" w:right="0" w:rightChars="0"/>
              <w:jc w:val="center"/>
              <w:rPr>
                <w:rFonts w:hint="eastAsia" w:ascii="宋体" w:hAnsi="宋体" w:eastAsia="宋体" w:cs="宋体"/>
                <w:color w:val="auto"/>
                <w:sz w:val="21"/>
                <w:szCs w:val="21"/>
                <w:highlight w:val="none"/>
                <w:lang w:val="en-US" w:eastAsia="zh-CN" w:bidi="ar-SA"/>
              </w:rPr>
            </w:pPr>
            <w:r>
              <w:rPr>
                <w:rFonts w:hint="eastAsia" w:cs="宋体"/>
                <w:color w:val="auto"/>
                <w:sz w:val="21"/>
                <w:szCs w:val="21"/>
                <w:highlight w:val="none"/>
                <w:lang w:val="en-US" w:eastAsia="zh-CN" w:bidi="ar-SA"/>
              </w:rPr>
              <w:t>7</w:t>
            </w:r>
          </w:p>
        </w:tc>
        <w:tc>
          <w:tcPr>
            <w:tcW w:w="7113" w:type="dxa"/>
            <w:tcBorders>
              <w:left w:val="single" w:color="auto" w:sz="4" w:space="0"/>
            </w:tcBorders>
            <w:vAlign w:val="center"/>
          </w:tcPr>
          <w:p>
            <w:pPr>
              <w:widowControl/>
              <w:autoSpaceDE/>
              <w:autoSpaceDN/>
              <w:spacing w:before="0" w:after="0" w:line="240" w:lineRule="exact"/>
              <w:ind w:left="0" w:leftChars="0" w:right="0" w:rightChars="0"/>
              <w:jc w:val="left"/>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bidi="ar-SA"/>
              </w:rPr>
              <w:t>投标报价未超过本项目最高限价的</w:t>
            </w:r>
            <w:r>
              <w:rPr>
                <w:rFonts w:hint="eastAsia" w:cs="宋体"/>
                <w:color w:val="auto"/>
                <w:sz w:val="21"/>
                <w:szCs w:val="21"/>
                <w:highlight w:val="none"/>
                <w:lang w:val="en-US" w:eastAsia="zh-CN" w:bidi="ar-SA"/>
              </w:rPr>
              <w:t>。</w:t>
            </w:r>
          </w:p>
        </w:tc>
        <w:tc>
          <w:tcPr>
            <w:tcW w:w="1033" w:type="dxa"/>
            <w:shd w:val="clear" w:color="auto" w:fill="auto"/>
            <w:tcMar>
              <w:top w:w="57" w:type="dxa"/>
              <w:left w:w="57" w:type="dxa"/>
              <w:bottom w:w="57" w:type="dxa"/>
              <w:right w:w="57" w:type="dxa"/>
            </w:tcMar>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171" w:leftChars="0" w:right="0" w:rightChars="0"/>
              <w:jc w:val="center"/>
              <w:rPr>
                <w:rFonts w:hint="eastAsia" w:ascii="宋体" w:hAnsi="宋体" w:eastAsia="宋体" w:cs="宋体"/>
                <w:color w:val="auto"/>
                <w:sz w:val="21"/>
                <w:szCs w:val="20"/>
                <w:highlight w:val="none"/>
                <w:lang w:val="en-US" w:eastAsia="zh-CN" w:bidi="ar-SA"/>
              </w:rPr>
            </w:pPr>
            <w:r>
              <w:rPr>
                <w:rFonts w:hint="eastAsia" w:ascii="宋体" w:hAnsi="宋体" w:cs="宋体"/>
                <w:color w:val="auto"/>
                <w:sz w:val="21"/>
                <w:szCs w:val="20"/>
                <w:highlight w:val="none"/>
                <w:lang w:val="en-US" w:bidi="ar-SA"/>
              </w:rPr>
              <w:t>□不通过</w:t>
            </w:r>
          </w:p>
        </w:tc>
        <w:tc>
          <w:tcPr>
            <w:tcW w:w="1151" w:type="dxa"/>
            <w:shd w:val="clear" w:color="auto" w:fill="auto"/>
            <w:vAlign w:val="center"/>
          </w:tcPr>
          <w:p>
            <w:pPr>
              <w:widowControl/>
              <w:autoSpaceDE/>
              <w:autoSpaceDN/>
              <w:spacing w:before="0" w:after="0" w:line="240" w:lineRule="auto"/>
              <w:ind w:left="42" w:leftChars="19" w:right="0" w:rightChars="0"/>
              <w:jc w:val="center"/>
              <w:rPr>
                <w:rFonts w:hint="eastAsia" w:ascii="宋体" w:hAnsi="宋体" w:eastAsia="宋体" w:cs="宋体"/>
                <w:color w:val="auto"/>
                <w:sz w:val="21"/>
                <w:szCs w:val="20"/>
                <w:highlight w:val="none"/>
                <w:lang w:val="en-US" w:eastAsia="zh-CN" w:bidi="ar-SA"/>
              </w:rPr>
            </w:pPr>
            <w:r>
              <w:rPr>
                <w:rFonts w:hint="eastAsia" w:ascii="宋体" w:hAnsi="宋体" w:cs="宋体"/>
                <w:color w:val="auto"/>
                <w:sz w:val="21"/>
                <w:szCs w:val="20"/>
                <w:highlight w:val="none"/>
                <w:lang w:val="en-US" w:bidi="ar-SA"/>
              </w:rPr>
              <w:t>见响应文件第（）页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20" w:hRule="atLeast"/>
        </w:trPr>
        <w:tc>
          <w:tcPr>
            <w:tcW w:w="560" w:type="dxa"/>
            <w:tcBorders>
              <w:right w:val="single" w:color="auto" w:sz="4" w:space="0"/>
            </w:tcBorders>
            <w:tcMar>
              <w:top w:w="57" w:type="dxa"/>
              <w:left w:w="57" w:type="dxa"/>
              <w:bottom w:w="57" w:type="dxa"/>
              <w:right w:w="57" w:type="dxa"/>
            </w:tcMar>
            <w:vAlign w:val="center"/>
          </w:tcPr>
          <w:p>
            <w:pPr>
              <w:widowControl/>
              <w:autoSpaceDE/>
              <w:autoSpaceDN/>
              <w:spacing w:before="0" w:after="0" w:line="240" w:lineRule="exact"/>
              <w:ind w:left="0" w:leftChars="0" w:right="0" w:rightChars="0"/>
              <w:jc w:val="center"/>
              <w:rPr>
                <w:rFonts w:hint="eastAsia" w:ascii="宋体" w:hAnsi="宋体" w:eastAsia="宋体" w:cs="宋体"/>
                <w:color w:val="auto"/>
                <w:sz w:val="21"/>
                <w:szCs w:val="21"/>
                <w:highlight w:val="none"/>
                <w:lang w:val="en-US" w:eastAsia="zh-CN" w:bidi="ar-SA"/>
              </w:rPr>
            </w:pPr>
            <w:r>
              <w:rPr>
                <w:rFonts w:hint="eastAsia" w:cs="宋体"/>
                <w:color w:val="auto"/>
                <w:sz w:val="21"/>
                <w:szCs w:val="21"/>
                <w:highlight w:val="none"/>
                <w:lang w:val="en-US" w:eastAsia="zh-CN" w:bidi="ar-SA"/>
              </w:rPr>
              <w:t>8</w:t>
            </w:r>
          </w:p>
        </w:tc>
        <w:tc>
          <w:tcPr>
            <w:tcW w:w="7113" w:type="dxa"/>
            <w:tcBorders>
              <w:left w:val="single" w:color="auto" w:sz="4" w:space="0"/>
            </w:tcBorders>
            <w:vAlign w:val="center"/>
          </w:tcPr>
          <w:p>
            <w:pPr>
              <w:widowControl/>
              <w:autoSpaceDE/>
              <w:autoSpaceDN/>
              <w:spacing w:before="0" w:after="0" w:line="240" w:lineRule="exact"/>
              <w:ind w:left="0" w:leftChars="0" w:right="0" w:rightChars="0"/>
              <w:jc w:val="left"/>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投标文件未出现选择性报价或有附加条件报价的情形</w:t>
            </w:r>
            <w:r>
              <w:rPr>
                <w:rFonts w:hint="eastAsia" w:ascii="宋体" w:hAnsi="宋体" w:eastAsia="宋体" w:cs="宋体"/>
                <w:color w:val="auto"/>
                <w:sz w:val="21"/>
                <w:szCs w:val="21"/>
                <w:highlight w:val="none"/>
                <w:lang w:val="en-US" w:eastAsia="zh-CN" w:bidi="ar-SA"/>
              </w:rPr>
              <w:t>。</w:t>
            </w:r>
          </w:p>
        </w:tc>
        <w:tc>
          <w:tcPr>
            <w:tcW w:w="1033" w:type="dxa"/>
            <w:shd w:val="clear" w:color="auto" w:fill="auto"/>
            <w:tcMar>
              <w:top w:w="57" w:type="dxa"/>
              <w:left w:w="57" w:type="dxa"/>
              <w:bottom w:w="57" w:type="dxa"/>
              <w:right w:w="57" w:type="dxa"/>
            </w:tcMar>
            <w:vAlign w:val="center"/>
          </w:tcPr>
          <w:p>
            <w:pPr>
              <w:widowControl/>
              <w:autoSpaceDE/>
              <w:autoSpaceDN/>
              <w:spacing w:before="0" w:after="0" w:line="240" w:lineRule="auto"/>
              <w:ind w:left="-171" w:right="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□通过</w:t>
            </w:r>
          </w:p>
          <w:p>
            <w:pPr>
              <w:widowControl/>
              <w:autoSpaceDE/>
              <w:autoSpaceDN/>
              <w:spacing w:before="0" w:after="0" w:line="240" w:lineRule="auto"/>
              <w:ind w:left="-171" w:leftChars="0" w:right="0" w:rightChars="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□不通过</w:t>
            </w:r>
          </w:p>
        </w:tc>
        <w:tc>
          <w:tcPr>
            <w:tcW w:w="1151" w:type="dxa"/>
            <w:shd w:val="clear" w:color="auto" w:fill="auto"/>
            <w:vAlign w:val="center"/>
          </w:tcPr>
          <w:p>
            <w:pPr>
              <w:widowControl/>
              <w:autoSpaceDE/>
              <w:autoSpaceDN/>
              <w:spacing w:before="0" w:after="0" w:line="240" w:lineRule="auto"/>
              <w:ind w:left="42" w:leftChars="19" w:right="0" w:rightChars="0"/>
              <w:jc w:val="center"/>
              <w:rPr>
                <w:rFonts w:hint="eastAsia"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见响应文件第（）页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57" w:hRule="atLeast"/>
        </w:trPr>
        <w:tc>
          <w:tcPr>
            <w:tcW w:w="7673" w:type="dxa"/>
            <w:gridSpan w:val="2"/>
            <w:tcMar>
              <w:top w:w="57" w:type="dxa"/>
              <w:left w:w="57" w:type="dxa"/>
              <w:bottom w:w="57" w:type="dxa"/>
              <w:right w:w="57" w:type="dxa"/>
            </w:tcMar>
            <w:vAlign w:val="center"/>
          </w:tcPr>
          <w:p>
            <w:pPr>
              <w:widowControl/>
              <w:autoSpaceDE/>
              <w:autoSpaceDN/>
              <w:spacing w:before="0" w:after="0" w:line="240" w:lineRule="auto"/>
              <w:ind w:left="0" w:right="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结论</w:t>
            </w:r>
          </w:p>
        </w:tc>
        <w:tc>
          <w:tcPr>
            <w:tcW w:w="1033" w:type="dxa"/>
            <w:tcMar>
              <w:top w:w="57" w:type="dxa"/>
              <w:left w:w="57" w:type="dxa"/>
              <w:bottom w:w="57" w:type="dxa"/>
              <w:right w:w="57" w:type="dxa"/>
            </w:tcMar>
            <w:vAlign w:val="center"/>
          </w:tcPr>
          <w:p>
            <w:pPr>
              <w:widowControl/>
              <w:autoSpaceDE/>
              <w:autoSpaceDN/>
              <w:spacing w:before="0" w:after="0" w:line="240" w:lineRule="auto"/>
              <w:ind w:left="0" w:right="0"/>
              <w:jc w:val="center"/>
              <w:rPr>
                <w:rFonts w:ascii="宋体" w:hAnsi="宋体" w:cs="宋体"/>
                <w:color w:val="auto"/>
                <w:sz w:val="21"/>
                <w:szCs w:val="20"/>
                <w:highlight w:val="none"/>
                <w:lang w:val="en-US" w:bidi="ar-SA"/>
              </w:rPr>
            </w:pPr>
          </w:p>
        </w:tc>
        <w:tc>
          <w:tcPr>
            <w:tcW w:w="1151" w:type="dxa"/>
            <w:vAlign w:val="center"/>
          </w:tcPr>
          <w:p>
            <w:pPr>
              <w:widowControl/>
              <w:autoSpaceDE/>
              <w:autoSpaceDN/>
              <w:spacing w:before="0" w:after="0" w:line="240" w:lineRule="auto"/>
              <w:ind w:left="0" w:right="0"/>
              <w:jc w:val="left"/>
              <w:rPr>
                <w:rFonts w:ascii="宋体" w:hAnsi="宋体" w:cs="宋体"/>
                <w:color w:val="auto"/>
                <w:sz w:val="21"/>
                <w:szCs w:val="20"/>
                <w:highlight w:val="none"/>
                <w:lang w:val="en-US"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57" w:type="dxa"/>
            <w:bottom w:w="57" w:type="dxa"/>
            <w:right w:w="57" w:type="dxa"/>
          </w:tblCellMar>
        </w:tblPrEx>
        <w:trPr>
          <w:trHeight w:val="57" w:hRule="atLeast"/>
        </w:trPr>
        <w:tc>
          <w:tcPr>
            <w:tcW w:w="7673" w:type="dxa"/>
            <w:gridSpan w:val="2"/>
            <w:tcMar>
              <w:top w:w="57" w:type="dxa"/>
              <w:left w:w="57" w:type="dxa"/>
              <w:bottom w:w="57" w:type="dxa"/>
              <w:right w:w="57" w:type="dxa"/>
            </w:tcMar>
            <w:vAlign w:val="center"/>
          </w:tcPr>
          <w:p>
            <w:pPr>
              <w:widowControl/>
              <w:autoSpaceDE/>
              <w:autoSpaceDN/>
              <w:spacing w:before="0" w:after="0" w:line="240" w:lineRule="auto"/>
              <w:ind w:left="0" w:right="0"/>
              <w:jc w:val="center"/>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不通过原因说明</w:t>
            </w:r>
          </w:p>
        </w:tc>
        <w:tc>
          <w:tcPr>
            <w:tcW w:w="1033" w:type="dxa"/>
            <w:tcMar>
              <w:top w:w="57" w:type="dxa"/>
              <w:left w:w="57" w:type="dxa"/>
              <w:bottom w:w="57" w:type="dxa"/>
              <w:right w:w="57" w:type="dxa"/>
            </w:tcMar>
            <w:vAlign w:val="center"/>
          </w:tcPr>
          <w:p>
            <w:pPr>
              <w:widowControl/>
              <w:autoSpaceDE/>
              <w:autoSpaceDN/>
              <w:spacing w:before="0" w:after="0" w:line="240" w:lineRule="auto"/>
              <w:ind w:left="0" w:right="0"/>
              <w:jc w:val="center"/>
              <w:rPr>
                <w:rFonts w:ascii="宋体" w:hAnsi="宋体" w:cs="宋体"/>
                <w:color w:val="auto"/>
                <w:sz w:val="21"/>
                <w:szCs w:val="20"/>
                <w:highlight w:val="none"/>
                <w:lang w:val="en-US" w:bidi="ar-SA"/>
              </w:rPr>
            </w:pPr>
          </w:p>
        </w:tc>
        <w:tc>
          <w:tcPr>
            <w:tcW w:w="1151" w:type="dxa"/>
            <w:vAlign w:val="center"/>
          </w:tcPr>
          <w:p>
            <w:pPr>
              <w:widowControl/>
              <w:autoSpaceDE/>
              <w:autoSpaceDN/>
              <w:spacing w:before="0" w:after="0" w:line="240" w:lineRule="auto"/>
              <w:ind w:left="0" w:right="0"/>
              <w:jc w:val="left"/>
              <w:rPr>
                <w:rFonts w:ascii="宋体" w:hAnsi="宋体" w:cs="宋体"/>
                <w:color w:val="auto"/>
                <w:sz w:val="21"/>
                <w:szCs w:val="20"/>
                <w:highlight w:val="none"/>
                <w:lang w:val="en-US" w:bidi="ar-SA"/>
              </w:rPr>
            </w:pPr>
          </w:p>
        </w:tc>
      </w:tr>
    </w:tbl>
    <w:p>
      <w:pPr>
        <w:widowControl w:val="0"/>
        <w:spacing w:after="120" w:line="240" w:lineRule="auto"/>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GB" w:eastAsia="zh-CN" w:bidi="ar-SA"/>
        </w:rPr>
        <w:t>说明</w:t>
      </w:r>
      <w:r>
        <w:rPr>
          <w:rFonts w:hint="eastAsia" w:ascii="宋体" w:hAnsi="宋体" w:eastAsia="宋体" w:cs="宋体"/>
          <w:color w:val="auto"/>
          <w:kern w:val="2"/>
          <w:sz w:val="21"/>
          <w:szCs w:val="21"/>
          <w:highlight w:val="none"/>
          <w:lang w:val="en-US" w:eastAsia="zh-CN" w:bidi="ar-SA"/>
        </w:rPr>
        <w:t>：以上材料将作为投标人合格性和有效性审核的重要内容之一，投标人必须严格按照其内容及序列要求在投标文件中对应如实提供，对缺漏和不符合项将会直接导致无效投标！在对应的□打“√”。</w:t>
      </w:r>
    </w:p>
    <w:p>
      <w:pPr>
        <w:widowControl/>
        <w:autoSpaceDE/>
        <w:autoSpaceDN/>
        <w:adjustRightInd w:val="0"/>
        <w:snapToGrid w:val="0"/>
        <w:spacing w:before="0" w:after="0" w:line="240" w:lineRule="auto"/>
        <w:ind w:left="0" w:right="0"/>
        <w:jc w:val="left"/>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投标人代表签字或签章：</w:t>
      </w:r>
    </w:p>
    <w:p>
      <w:pPr>
        <w:widowControl/>
        <w:autoSpaceDE/>
        <w:autoSpaceDN/>
        <w:adjustRightInd w:val="0"/>
        <w:snapToGrid w:val="0"/>
        <w:spacing w:before="0" w:after="0" w:line="240" w:lineRule="auto"/>
        <w:ind w:left="0" w:right="0"/>
        <w:jc w:val="left"/>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投标人名称（加盖公章）：</w:t>
      </w:r>
    </w:p>
    <w:p>
      <w:pPr>
        <w:widowControl/>
        <w:autoSpaceDE/>
        <w:autoSpaceDN/>
        <w:adjustRightInd w:val="0"/>
        <w:snapToGrid w:val="0"/>
        <w:spacing w:before="0" w:after="0" w:line="240" w:lineRule="auto"/>
        <w:ind w:left="0" w:right="0"/>
        <w:jc w:val="left"/>
        <w:rPr>
          <w:rFonts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日期：</w:t>
      </w:r>
      <w:r>
        <w:rPr>
          <w:rFonts w:hint="eastAsia" w:cs="宋体"/>
          <w:color w:val="auto"/>
          <w:sz w:val="21"/>
          <w:szCs w:val="21"/>
          <w:highlight w:val="none"/>
          <w:lang w:val="en-US" w:eastAsia="zh-CN" w:bidi="ar-SA"/>
        </w:rPr>
        <w:t xml:space="preserve">    </w:t>
      </w:r>
      <w:r>
        <w:rPr>
          <w:rFonts w:hint="eastAsia" w:ascii="宋体" w:hAnsi="宋体" w:cs="宋体"/>
          <w:color w:val="auto"/>
          <w:sz w:val="21"/>
          <w:szCs w:val="21"/>
          <w:highlight w:val="none"/>
          <w:lang w:val="en-US" w:bidi="ar-SA"/>
        </w:rPr>
        <w:t xml:space="preserve">年 </w:t>
      </w:r>
      <w:r>
        <w:rPr>
          <w:rFonts w:hint="eastAsia" w:cs="宋体"/>
          <w:color w:val="auto"/>
          <w:sz w:val="21"/>
          <w:szCs w:val="21"/>
          <w:highlight w:val="none"/>
          <w:lang w:val="en-US" w:eastAsia="zh-CN" w:bidi="ar-SA"/>
        </w:rPr>
        <w:t xml:space="preserve"> </w:t>
      </w:r>
      <w:r>
        <w:rPr>
          <w:rFonts w:hint="eastAsia" w:ascii="宋体" w:hAnsi="宋体" w:cs="宋体"/>
          <w:color w:val="auto"/>
          <w:sz w:val="21"/>
          <w:szCs w:val="21"/>
          <w:highlight w:val="none"/>
          <w:lang w:val="en-US" w:bidi="ar-SA"/>
        </w:rPr>
        <w:t xml:space="preserve">月 </w:t>
      </w:r>
      <w:r>
        <w:rPr>
          <w:rFonts w:hint="eastAsia" w:cs="宋体"/>
          <w:color w:val="auto"/>
          <w:sz w:val="21"/>
          <w:szCs w:val="21"/>
          <w:highlight w:val="none"/>
          <w:lang w:val="en-US" w:eastAsia="zh-CN" w:bidi="ar-SA"/>
        </w:rPr>
        <w:t xml:space="preserve"> </w:t>
      </w:r>
      <w:r>
        <w:rPr>
          <w:rFonts w:hint="eastAsia" w:ascii="宋体" w:hAnsi="宋体" w:cs="宋体"/>
          <w:color w:val="auto"/>
          <w:sz w:val="21"/>
          <w:szCs w:val="21"/>
          <w:highlight w:val="none"/>
          <w:lang w:val="en-US" w:bidi="ar-SA"/>
        </w:rPr>
        <w:t>日</w:t>
      </w:r>
    </w:p>
    <w:p>
      <w:pPr>
        <w:widowControl/>
        <w:autoSpaceDE/>
        <w:autoSpaceDN/>
        <w:spacing w:before="0" w:after="0" w:line="240" w:lineRule="auto"/>
        <w:ind w:left="0" w:right="0"/>
        <w:jc w:val="left"/>
        <w:rPr>
          <w:rFonts w:ascii="宋体" w:hAnsi="宋体" w:cs="宋体"/>
          <w:color w:val="auto"/>
          <w:sz w:val="21"/>
          <w:szCs w:val="21"/>
          <w:highlight w:val="none"/>
          <w:lang w:val="en-US" w:bidi="ar-SA"/>
        </w:rPr>
      </w:pPr>
      <w:r>
        <w:rPr>
          <w:rFonts w:ascii="宋体" w:hAnsi="宋体" w:cs="宋体"/>
          <w:color w:val="auto"/>
          <w:sz w:val="21"/>
          <w:szCs w:val="21"/>
          <w:highlight w:val="none"/>
          <w:lang w:val="en-US" w:bidi="ar-SA"/>
        </w:rPr>
        <w:br w:type="page"/>
      </w:r>
    </w:p>
    <w:p>
      <w:pPr>
        <w:jc w:val="center"/>
        <w:rPr>
          <w:rFonts w:hint="eastAsia" w:ascii="宋体" w:hAnsi="宋体" w:cs="宋体"/>
          <w:b/>
          <w:color w:val="auto"/>
          <w:sz w:val="24"/>
          <w:szCs w:val="24"/>
          <w:highlight w:val="none"/>
        </w:rPr>
      </w:pPr>
      <w:bookmarkStart w:id="35" w:name="_Toc4173"/>
      <w:bookmarkStart w:id="36" w:name="_Toc2764"/>
      <w:r>
        <w:rPr>
          <w:rFonts w:hint="eastAsia" w:ascii="宋体" w:hAnsi="宋体" w:cs="宋体"/>
          <w:b/>
          <w:color w:val="auto"/>
          <w:sz w:val="24"/>
          <w:szCs w:val="24"/>
          <w:highlight w:val="none"/>
        </w:rPr>
        <w:t>1.</w:t>
      </w:r>
      <w:r>
        <w:rPr>
          <w:rFonts w:hint="eastAsia" w:ascii="宋体" w:hAnsi="宋体" w:cs="宋体"/>
          <w:b/>
          <w:color w:val="auto"/>
          <w:sz w:val="24"/>
          <w:szCs w:val="24"/>
          <w:highlight w:val="none"/>
          <w:lang w:val="en-US" w:eastAsia="zh-CN"/>
        </w:rPr>
        <w:t>2</w:t>
      </w:r>
      <w:r>
        <w:rPr>
          <w:rFonts w:hint="eastAsia" w:ascii="宋体" w:hAnsi="宋体" w:cs="宋体"/>
          <w:b/>
          <w:color w:val="auto"/>
          <w:sz w:val="24"/>
          <w:szCs w:val="24"/>
          <w:highlight w:val="none"/>
        </w:rPr>
        <w:t>商务</w:t>
      </w:r>
      <w:r>
        <w:rPr>
          <w:rFonts w:hint="eastAsia" w:ascii="宋体" w:hAnsi="宋体" w:cs="宋体"/>
          <w:b/>
          <w:color w:val="auto"/>
          <w:sz w:val="24"/>
          <w:szCs w:val="24"/>
          <w:highlight w:val="none"/>
          <w:lang w:val="en-US" w:eastAsia="zh-CN"/>
        </w:rPr>
        <w:t>技术</w:t>
      </w:r>
      <w:r>
        <w:rPr>
          <w:rFonts w:hint="eastAsia" w:ascii="宋体" w:hAnsi="宋体" w:cs="宋体"/>
          <w:b/>
          <w:color w:val="auto"/>
          <w:sz w:val="24"/>
          <w:szCs w:val="24"/>
          <w:highlight w:val="none"/>
        </w:rPr>
        <w:t>部分评审自查表</w:t>
      </w:r>
      <w:bookmarkEnd w:id="35"/>
      <w:bookmarkEnd w:id="36"/>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3127"/>
        <w:gridCol w:w="4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336" w:type="dxa"/>
            <w:noWrap w:val="0"/>
            <w:vAlign w:val="center"/>
          </w:tcPr>
          <w:p>
            <w:pPr>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3127" w:type="dxa"/>
            <w:noWrap w:val="0"/>
            <w:vAlign w:val="center"/>
          </w:tcPr>
          <w:p>
            <w:pPr>
              <w:jc w:val="center"/>
              <w:rPr>
                <w:rFonts w:ascii="宋体" w:hAnsi="宋体" w:cs="宋体"/>
                <w:b/>
                <w:color w:val="auto"/>
                <w:szCs w:val="21"/>
                <w:highlight w:val="none"/>
              </w:rPr>
            </w:pPr>
            <w:r>
              <w:rPr>
                <w:rFonts w:hint="eastAsia" w:ascii="宋体" w:hAnsi="宋体" w:cs="宋体"/>
                <w:b/>
                <w:color w:val="auto"/>
                <w:szCs w:val="21"/>
                <w:highlight w:val="none"/>
              </w:rPr>
              <w:t>评审内容</w:t>
            </w:r>
          </w:p>
        </w:tc>
        <w:tc>
          <w:tcPr>
            <w:tcW w:w="4159" w:type="dxa"/>
            <w:noWrap w:val="0"/>
            <w:vAlign w:val="center"/>
          </w:tcPr>
          <w:p>
            <w:pPr>
              <w:jc w:val="center"/>
              <w:rPr>
                <w:rFonts w:hint="eastAsia" w:ascii="宋体" w:hAnsi="宋体" w:cs="宋体"/>
                <w:b/>
                <w:color w:val="auto"/>
                <w:szCs w:val="21"/>
                <w:highlight w:val="none"/>
              </w:rPr>
            </w:pPr>
            <w:r>
              <w:rPr>
                <w:rFonts w:hint="eastAsia" w:ascii="宋体" w:hAnsi="宋体" w:cs="宋体"/>
                <w:b/>
                <w:color w:val="auto"/>
                <w:szCs w:val="21"/>
                <w:highlight w:val="none"/>
              </w:rPr>
              <w:t>证明文件（如有）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36" w:type="dxa"/>
            <w:noWrap w:val="0"/>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3127" w:type="dxa"/>
            <w:noWrap w:val="0"/>
            <w:vAlign w:val="center"/>
          </w:tcPr>
          <w:p>
            <w:pPr>
              <w:pStyle w:val="13"/>
              <w:tabs>
                <w:tab w:val="left" w:pos="420"/>
              </w:tabs>
              <w:spacing w:line="360" w:lineRule="auto"/>
              <w:jc w:val="center"/>
              <w:rPr>
                <w:rFonts w:hint="eastAsia" w:ascii="宋体" w:hAnsi="宋体" w:cs="宋体"/>
                <w:color w:val="auto"/>
                <w:sz w:val="21"/>
                <w:szCs w:val="21"/>
                <w:highlight w:val="none"/>
              </w:rPr>
            </w:pPr>
          </w:p>
        </w:tc>
        <w:tc>
          <w:tcPr>
            <w:tcW w:w="4159" w:type="dxa"/>
            <w:noWrap w:val="0"/>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36" w:type="dxa"/>
            <w:noWrap w:val="0"/>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3127" w:type="dxa"/>
            <w:noWrap w:val="0"/>
            <w:vAlign w:val="center"/>
          </w:tcPr>
          <w:p>
            <w:pPr>
              <w:spacing w:line="360" w:lineRule="auto"/>
              <w:jc w:val="center"/>
              <w:rPr>
                <w:rFonts w:hint="eastAsia" w:ascii="宋体" w:hAnsi="宋体" w:cs="宋体"/>
                <w:color w:val="auto"/>
                <w:szCs w:val="21"/>
                <w:highlight w:val="none"/>
              </w:rPr>
            </w:pPr>
          </w:p>
        </w:tc>
        <w:tc>
          <w:tcPr>
            <w:tcW w:w="4159" w:type="dxa"/>
            <w:noWrap w:val="0"/>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36" w:type="dxa"/>
            <w:noWrap w:val="0"/>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3127" w:type="dxa"/>
            <w:noWrap w:val="0"/>
            <w:vAlign w:val="center"/>
          </w:tcPr>
          <w:p>
            <w:pPr>
              <w:spacing w:line="360" w:lineRule="auto"/>
              <w:jc w:val="center"/>
              <w:rPr>
                <w:rFonts w:hint="eastAsia" w:ascii="宋体" w:hAnsi="宋体" w:cs="宋体"/>
                <w:color w:val="auto"/>
                <w:szCs w:val="21"/>
                <w:highlight w:val="none"/>
              </w:rPr>
            </w:pPr>
          </w:p>
        </w:tc>
        <w:tc>
          <w:tcPr>
            <w:tcW w:w="4159" w:type="dxa"/>
            <w:noWrap w:val="0"/>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36" w:type="dxa"/>
            <w:noWrap w:val="0"/>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3127" w:type="dxa"/>
            <w:noWrap w:val="0"/>
            <w:vAlign w:val="center"/>
          </w:tcPr>
          <w:p>
            <w:pPr>
              <w:spacing w:line="360" w:lineRule="auto"/>
              <w:jc w:val="center"/>
              <w:rPr>
                <w:rFonts w:hint="eastAsia" w:ascii="宋体" w:hAnsi="宋体" w:cs="宋体"/>
                <w:color w:val="auto"/>
                <w:szCs w:val="21"/>
                <w:highlight w:val="none"/>
              </w:rPr>
            </w:pPr>
          </w:p>
        </w:tc>
        <w:tc>
          <w:tcPr>
            <w:tcW w:w="4159" w:type="dxa"/>
            <w:noWrap w:val="0"/>
            <w:vAlign w:val="center"/>
          </w:tcPr>
          <w:p>
            <w:pPr>
              <w:jc w:val="center"/>
              <w:rPr>
                <w:rFonts w:hint="eastAsia" w:ascii="宋体" w:hAnsi="宋体" w:cs="宋体"/>
                <w:color w:val="auto"/>
                <w:szCs w:val="21"/>
                <w:highlight w:val="none"/>
              </w:rPr>
            </w:pPr>
          </w:p>
        </w:tc>
      </w:tr>
    </w:tbl>
    <w:p>
      <w:pPr>
        <w:pStyle w:val="8"/>
        <w:spacing w:after="0"/>
        <w:ind w:left="424" w:hanging="424" w:hangingChars="202"/>
        <w:rPr>
          <w:rFonts w:hint="eastAsia" w:ascii="宋体" w:hAnsi="宋体" w:cs="宋体"/>
          <w:color w:val="auto"/>
          <w:sz w:val="21"/>
          <w:szCs w:val="21"/>
          <w:highlight w:val="none"/>
          <w:lang w:val="en-GB"/>
        </w:rPr>
      </w:pPr>
    </w:p>
    <w:p>
      <w:pPr>
        <w:rPr>
          <w:rFonts w:hint="eastAsia" w:ascii="宋体" w:hAnsi="宋体" w:cs="宋体"/>
          <w:color w:val="auto"/>
          <w:szCs w:val="21"/>
          <w:highlight w:val="none"/>
          <w:lang w:val="en-GB"/>
        </w:rPr>
      </w:pPr>
      <w:r>
        <w:rPr>
          <w:rFonts w:hint="eastAsia" w:ascii="宋体" w:hAnsi="宋体" w:cs="宋体"/>
          <w:color w:val="auto"/>
          <w:szCs w:val="21"/>
          <w:highlight w:val="none"/>
        </w:rPr>
        <w:t>说明</w:t>
      </w:r>
      <w:r>
        <w:rPr>
          <w:rFonts w:hint="eastAsia" w:ascii="宋体" w:hAnsi="宋体" w:cs="宋体"/>
          <w:color w:val="auto"/>
          <w:szCs w:val="21"/>
          <w:highlight w:val="none"/>
          <w:lang w:val="en-GB"/>
        </w:rPr>
        <w:t>：</w:t>
      </w:r>
      <w:r>
        <w:rPr>
          <w:rFonts w:hint="eastAsia" w:ascii="宋体" w:hAnsi="宋体" w:cs="宋体"/>
          <w:color w:val="auto"/>
          <w:szCs w:val="21"/>
          <w:highlight w:val="none"/>
        </w:rPr>
        <w:t>投标人应根据《商务</w:t>
      </w:r>
      <w:r>
        <w:rPr>
          <w:rFonts w:hint="eastAsia" w:ascii="宋体" w:hAnsi="宋体" w:cs="宋体"/>
          <w:color w:val="auto"/>
          <w:szCs w:val="21"/>
          <w:highlight w:val="none"/>
          <w:lang w:val="en-US" w:eastAsia="zh-CN"/>
        </w:rPr>
        <w:t>技术</w:t>
      </w:r>
      <w:r>
        <w:rPr>
          <w:rFonts w:hint="eastAsia" w:ascii="宋体" w:hAnsi="宋体" w:cs="宋体"/>
          <w:color w:val="auto"/>
          <w:szCs w:val="21"/>
          <w:highlight w:val="none"/>
        </w:rPr>
        <w:t>评分细则》的各项内容填写此表</w:t>
      </w:r>
      <w:r>
        <w:rPr>
          <w:rFonts w:hint="eastAsia" w:ascii="宋体" w:hAnsi="宋体" w:cs="宋体"/>
          <w:color w:val="auto"/>
          <w:szCs w:val="21"/>
          <w:highlight w:val="none"/>
          <w:lang w:val="en-GB"/>
        </w:rPr>
        <w:t>。</w:t>
      </w:r>
    </w:p>
    <w:p>
      <w:pPr>
        <w:pStyle w:val="8"/>
        <w:spacing w:after="0"/>
        <w:rPr>
          <w:rFonts w:hint="eastAsia" w:ascii="宋体" w:hAnsi="宋体" w:cs="宋体"/>
          <w:color w:val="auto"/>
          <w:sz w:val="21"/>
          <w:szCs w:val="21"/>
          <w:highlight w:val="none"/>
          <w:lang w:val="en-GB"/>
        </w:rPr>
      </w:pPr>
    </w:p>
    <w:p>
      <w:pPr>
        <w:adjustRightInd w:val="0"/>
        <w:snapToGrid w:val="0"/>
        <w:spacing w:line="300" w:lineRule="auto"/>
        <w:rPr>
          <w:rFonts w:hint="eastAsia" w:ascii="宋体" w:hAnsi="宋体" w:cs="宋体"/>
          <w:color w:val="auto"/>
          <w:szCs w:val="21"/>
          <w:highlight w:val="none"/>
        </w:rPr>
      </w:pPr>
      <w:r>
        <w:rPr>
          <w:rFonts w:hint="eastAsia" w:ascii="宋体" w:hAnsi="宋体" w:cs="宋体"/>
          <w:color w:val="auto"/>
          <w:szCs w:val="21"/>
          <w:highlight w:val="none"/>
        </w:rPr>
        <w:t>投标人代表签字或者签章：</w:t>
      </w:r>
    </w:p>
    <w:p>
      <w:pPr>
        <w:adjustRightInd w:val="0"/>
        <w:snapToGrid w:val="0"/>
        <w:spacing w:line="300" w:lineRule="auto"/>
        <w:rPr>
          <w:rFonts w:hint="eastAsia" w:ascii="宋体" w:hAnsi="宋体" w:cs="宋体"/>
          <w:color w:val="auto"/>
          <w:szCs w:val="21"/>
          <w:highlight w:val="none"/>
        </w:rPr>
      </w:pPr>
      <w:r>
        <w:rPr>
          <w:rFonts w:hint="eastAsia" w:ascii="宋体" w:hAnsi="宋体" w:cs="宋体"/>
          <w:color w:val="auto"/>
          <w:szCs w:val="21"/>
          <w:highlight w:val="none"/>
        </w:rPr>
        <w:t>投标人名称（加盖公章）：</w:t>
      </w:r>
    </w:p>
    <w:p>
      <w:pPr>
        <w:adjustRightInd w:val="0"/>
        <w:snapToGrid w:val="0"/>
        <w:spacing w:line="300" w:lineRule="auto"/>
        <w:rPr>
          <w:rFonts w:hint="eastAsia" w:ascii="宋体" w:hAnsi="宋体" w:cs="宋体"/>
          <w:color w:val="auto"/>
          <w:szCs w:val="21"/>
          <w:highlight w:val="none"/>
        </w:rPr>
      </w:pPr>
      <w:r>
        <w:rPr>
          <w:rFonts w:hint="eastAsia" w:ascii="宋体" w:hAnsi="宋体" w:cs="宋体"/>
          <w:color w:val="auto"/>
          <w:szCs w:val="21"/>
          <w:highlight w:val="none"/>
        </w:rPr>
        <w:t>日                  期：年 月 日</w:t>
      </w:r>
    </w:p>
    <w:p>
      <w:pPr>
        <w:rPr>
          <w:lang w:val="en-US"/>
        </w:rPr>
      </w:pPr>
      <w:r>
        <w:rPr>
          <w:rFonts w:hint="eastAsia" w:ascii="宋体" w:hAnsi="宋体" w:cs="宋体"/>
          <w:color w:val="auto"/>
          <w:sz w:val="24"/>
          <w:szCs w:val="24"/>
          <w:highlight w:val="none"/>
        </w:rPr>
        <w:br w:type="page"/>
      </w:r>
    </w:p>
    <w:p>
      <w:pPr>
        <w:widowControl/>
        <w:autoSpaceDE/>
        <w:autoSpaceDN/>
        <w:snapToGrid w:val="0"/>
        <w:spacing w:before="0" w:after="0" w:line="240" w:lineRule="auto"/>
        <w:ind w:left="0" w:right="0"/>
        <w:jc w:val="center"/>
        <w:rPr>
          <w:rFonts w:ascii="宋体" w:hAnsi="宋体" w:cs="宋体"/>
          <w:b/>
          <w:color w:val="auto"/>
          <w:sz w:val="24"/>
          <w:szCs w:val="20"/>
          <w:highlight w:val="none"/>
          <w:lang w:val="en-US" w:bidi="ar-SA"/>
        </w:rPr>
      </w:pPr>
      <w:bookmarkStart w:id="37" w:name="_Toc20311"/>
      <w:bookmarkStart w:id="38" w:name="_Toc28037"/>
      <w:r>
        <w:rPr>
          <w:rFonts w:hint="eastAsia" w:ascii="宋体" w:hAnsi="宋体" w:cs="宋体"/>
          <w:b/>
          <w:color w:val="auto"/>
          <w:sz w:val="24"/>
          <w:szCs w:val="24"/>
          <w:highlight w:val="none"/>
          <w:lang w:val="en-US" w:bidi="ar-SA"/>
        </w:rPr>
        <w:t>2.1报价表</w:t>
      </w:r>
    </w:p>
    <w:p>
      <w:pPr>
        <w:pBdr>
          <w:bottom w:val="single" w:color="auto" w:sz="6" w:space="1"/>
        </w:pBdr>
        <w:snapToGrid w:val="0"/>
        <w:jc w:val="both"/>
        <w:rPr>
          <w:rFonts w:ascii="宋体" w:hAnsi="宋体" w:eastAsia="宋体" w:cs="Times New Roman"/>
          <w:color w:val="auto"/>
          <w:sz w:val="21"/>
          <w:szCs w:val="21"/>
          <w:highlight w:val="none"/>
          <w:lang w:val="en-US" w:eastAsia="zh-CN" w:bidi="ar-SA"/>
        </w:rPr>
      </w:pPr>
    </w:p>
    <w:p>
      <w:pPr>
        <w:pBdr>
          <w:bottom w:val="single" w:color="auto" w:sz="6" w:space="1"/>
        </w:pBdr>
        <w:snapToGrid w:val="0"/>
        <w:jc w:val="both"/>
        <w:rPr>
          <w:rFonts w:hint="eastAsia" w:ascii="宋体" w:hAnsi="宋体" w:eastAsia="宋体" w:cs="Times New Roman"/>
          <w:color w:val="auto"/>
          <w:sz w:val="21"/>
          <w:szCs w:val="21"/>
          <w:highlight w:val="none"/>
          <w:lang w:val="en-US" w:eastAsia="zh-CN" w:bidi="ar-SA"/>
        </w:rPr>
      </w:pPr>
      <w:r>
        <w:rPr>
          <w:rFonts w:ascii="宋体" w:hAnsi="宋体" w:eastAsia="宋体" w:cs="Times New Roman"/>
          <w:color w:val="auto"/>
          <w:sz w:val="21"/>
          <w:szCs w:val="21"/>
          <w:highlight w:val="none"/>
          <w:lang w:val="en-US" w:eastAsia="zh-CN" w:bidi="ar-SA"/>
        </w:rPr>
        <w:t>项目</w:t>
      </w:r>
      <w:r>
        <w:rPr>
          <w:rFonts w:hint="eastAsia" w:ascii="宋体" w:hAnsi="宋体" w:eastAsia="宋体" w:cs="Times New Roman"/>
          <w:color w:val="auto"/>
          <w:sz w:val="21"/>
          <w:szCs w:val="21"/>
          <w:highlight w:val="none"/>
          <w:lang w:val="en-US" w:eastAsia="zh-CN" w:bidi="ar-SA"/>
        </w:rPr>
        <w:t>名称：珠海市香洲区第二人民医院</w:t>
      </w:r>
      <w:r>
        <w:rPr>
          <w:rFonts w:hint="eastAsia" w:cs="Times New Roman"/>
          <w:color w:val="auto"/>
          <w:sz w:val="21"/>
          <w:szCs w:val="21"/>
          <w:highlight w:val="none"/>
          <w:lang w:val="en-US" w:eastAsia="zh-CN" w:bidi="ar-SA"/>
        </w:rPr>
        <w:t>直饮水机租赁服务采购</w:t>
      </w:r>
      <w:r>
        <w:rPr>
          <w:rFonts w:hint="eastAsia" w:ascii="宋体" w:hAnsi="宋体" w:eastAsia="宋体" w:cs="Times New Roman"/>
          <w:color w:val="auto"/>
          <w:sz w:val="21"/>
          <w:szCs w:val="21"/>
          <w:highlight w:val="none"/>
          <w:lang w:val="en-US" w:eastAsia="zh-CN" w:bidi="ar-SA"/>
        </w:rPr>
        <w:t>项目</w:t>
      </w:r>
    </w:p>
    <w:p>
      <w:pPr>
        <w:pBdr>
          <w:bottom w:val="single" w:color="auto" w:sz="6" w:space="1"/>
        </w:pBdr>
        <w:snapToGrid w:val="0"/>
        <w:jc w:val="both"/>
        <w:rPr>
          <w:rFonts w:hint="default" w:ascii="宋体" w:hAnsi="宋体" w:eastAsia="宋体" w:cs="Times New Roman"/>
          <w:color w:val="auto"/>
          <w:sz w:val="21"/>
          <w:szCs w:val="21"/>
          <w:highlight w:val="none"/>
          <w:u w:val="none"/>
          <w:lang w:val="en-US" w:eastAsia="zh-CN" w:bidi="ar-SA"/>
        </w:rPr>
      </w:pPr>
      <w:r>
        <w:rPr>
          <w:rFonts w:hint="eastAsia" w:ascii="宋体" w:hAnsi="宋体" w:eastAsia="宋体" w:cs="Times New Roman"/>
          <w:color w:val="auto"/>
          <w:sz w:val="21"/>
          <w:szCs w:val="21"/>
          <w:highlight w:val="none"/>
          <w:u w:val="none"/>
          <w:lang w:val="en-US" w:eastAsia="zh-CN" w:bidi="ar-SA"/>
        </w:rPr>
        <w:t>项目编号：HQCG20</w:t>
      </w:r>
      <w:r>
        <w:rPr>
          <w:rFonts w:hint="eastAsia" w:cs="Times New Roman"/>
          <w:color w:val="auto"/>
          <w:sz w:val="21"/>
          <w:szCs w:val="21"/>
          <w:highlight w:val="none"/>
          <w:u w:val="none"/>
          <w:lang w:val="en-US" w:eastAsia="zh-CN" w:bidi="ar-SA"/>
        </w:rPr>
        <w:t>26004</w:t>
      </w:r>
    </w:p>
    <w:tbl>
      <w:tblPr>
        <w:tblStyle w:val="19"/>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32"/>
        <w:gridCol w:w="3349"/>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3632" w:type="dxa"/>
            <w:tcBorders>
              <w:top w:val="single" w:color="auto" w:sz="4" w:space="0"/>
            </w:tcBorders>
            <w:shd w:val="clear" w:color="auto" w:fill="EEECE1"/>
            <w:noWrap w:val="0"/>
            <w:vAlign w:val="center"/>
          </w:tcPr>
          <w:p>
            <w:pPr>
              <w:snapToGrid w:val="0"/>
              <w:spacing w:line="240" w:lineRule="auto"/>
              <w:ind w:right="-40" w:rightChars="-18"/>
              <w:jc w:val="center"/>
              <w:rPr>
                <w:rFonts w:ascii="宋体" w:hAnsi="宋体" w:cs="宋体"/>
              </w:rPr>
            </w:pPr>
            <w:r>
              <w:rPr>
                <w:rFonts w:hint="eastAsia" w:ascii="宋体" w:hAnsi="宋体" w:cs="宋体"/>
              </w:rPr>
              <w:t>项目名称</w:t>
            </w:r>
          </w:p>
        </w:tc>
        <w:tc>
          <w:tcPr>
            <w:tcW w:w="3349" w:type="dxa"/>
            <w:tcBorders>
              <w:top w:val="single" w:color="auto" w:sz="4" w:space="0"/>
            </w:tcBorders>
            <w:shd w:val="clear" w:color="auto" w:fill="EEECE1"/>
            <w:noWrap w:val="0"/>
            <w:vAlign w:val="center"/>
          </w:tcPr>
          <w:p>
            <w:pPr>
              <w:snapToGrid w:val="0"/>
              <w:spacing w:line="240" w:lineRule="auto"/>
              <w:ind w:right="-40" w:rightChars="-18"/>
              <w:jc w:val="center"/>
              <w:rPr>
                <w:rFonts w:hint="eastAsia" w:ascii="宋体" w:hAnsi="宋体" w:cs="宋体"/>
              </w:rPr>
            </w:pPr>
            <w:r>
              <w:rPr>
                <w:rFonts w:hint="eastAsia" w:ascii="宋体" w:hAnsi="宋体" w:cs="宋体"/>
                <w:lang w:val="en-US" w:eastAsia="zh-CN"/>
              </w:rPr>
              <w:t>投标总价（含税价）</w:t>
            </w:r>
          </w:p>
        </w:tc>
        <w:tc>
          <w:tcPr>
            <w:tcW w:w="1908" w:type="dxa"/>
            <w:tcBorders>
              <w:top w:val="single" w:color="auto" w:sz="4" w:space="0"/>
            </w:tcBorders>
            <w:shd w:val="clear" w:color="auto" w:fill="EEECE1"/>
            <w:noWrap w:val="0"/>
            <w:vAlign w:val="center"/>
          </w:tcPr>
          <w:p>
            <w:pPr>
              <w:snapToGrid w:val="0"/>
              <w:spacing w:line="240" w:lineRule="auto"/>
              <w:ind w:right="-40" w:rightChars="-18"/>
              <w:jc w:val="center"/>
              <w:rPr>
                <w:rFonts w:ascii="宋体" w:hAnsi="宋体" w:cs="宋体"/>
              </w:rPr>
            </w:pPr>
            <w:r>
              <w:rPr>
                <w:rFonts w:hint="eastAsia" w:ascii="宋体" w:hAnsi="宋体" w:cs="宋体"/>
              </w:rPr>
              <w:t>最高</w:t>
            </w:r>
            <w:r>
              <w:rPr>
                <w:rFonts w:hint="eastAsia" w:cs="宋体"/>
                <w:lang w:val="en-US" w:eastAsia="zh-CN"/>
              </w:rPr>
              <w:t>限</w:t>
            </w:r>
            <w:r>
              <w:rPr>
                <w:rFonts w:hint="eastAsia" w:ascii="宋体" w:hAnsi="宋体" w:cs="宋体"/>
              </w:rPr>
              <w:t>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3632" w:type="dxa"/>
            <w:noWrap w:val="0"/>
            <w:vAlign w:val="center"/>
          </w:tcPr>
          <w:p>
            <w:pPr>
              <w:spacing w:line="360" w:lineRule="auto"/>
              <w:ind w:left="-99" w:leftChars="-45" w:right="-73" w:rightChars="-33"/>
              <w:jc w:val="center"/>
              <w:rPr>
                <w:rFonts w:hint="default" w:ascii="宋体" w:hAnsi="宋体" w:eastAsia="宋体" w:cs="宋体"/>
                <w:lang w:val="en-US" w:eastAsia="zh-CN"/>
              </w:rPr>
            </w:pPr>
            <w:r>
              <w:rPr>
                <w:rFonts w:hint="eastAsia" w:ascii="宋体" w:hAnsi="宋体" w:cs="宋体"/>
                <w:lang w:val="en-US" w:eastAsia="zh-CN"/>
              </w:rPr>
              <w:t>珠海市香洲区第二人民医院</w:t>
            </w:r>
            <w:r>
              <w:rPr>
                <w:rFonts w:hint="eastAsia" w:cs="宋体"/>
                <w:lang w:val="en-US" w:eastAsia="zh-CN"/>
              </w:rPr>
              <w:t>直饮水机租赁</w:t>
            </w:r>
            <w:r>
              <w:rPr>
                <w:rFonts w:hint="eastAsia" w:ascii="宋体" w:hAnsi="宋体" w:cs="宋体"/>
                <w:lang w:val="en-US" w:eastAsia="zh-CN"/>
              </w:rPr>
              <w:t>服务</w:t>
            </w:r>
            <w:r>
              <w:rPr>
                <w:rFonts w:hint="eastAsia" w:cs="宋体"/>
                <w:lang w:val="en-US" w:eastAsia="zh-CN"/>
              </w:rPr>
              <w:t>采购项目</w:t>
            </w:r>
          </w:p>
        </w:tc>
        <w:tc>
          <w:tcPr>
            <w:tcW w:w="3349" w:type="dxa"/>
            <w:noWrap w:val="0"/>
            <w:vAlign w:val="center"/>
          </w:tcPr>
          <w:p>
            <w:pPr>
              <w:spacing w:line="360" w:lineRule="auto"/>
              <w:rPr>
                <w:rFonts w:hAnsi="宋体" w:cs="宋体"/>
                <w:u w:val="single"/>
              </w:rPr>
            </w:pPr>
            <w:r>
              <w:rPr>
                <w:rFonts w:hint="eastAsia" w:hAnsi="宋体" w:cs="宋体"/>
                <w:u w:val="single"/>
              </w:rPr>
              <w:t xml:space="preserve">大写：       </w:t>
            </w:r>
            <w:r>
              <w:rPr>
                <w:rFonts w:hint="eastAsia" w:cs="宋体"/>
                <w:u w:val="single"/>
                <w:lang w:val="en-US" w:eastAsia="zh-CN"/>
              </w:rPr>
              <w:t xml:space="preserve">    </w:t>
            </w:r>
            <w:r>
              <w:rPr>
                <w:rFonts w:hint="eastAsia" w:hAnsi="宋体" w:cs="宋体"/>
                <w:u w:val="single"/>
              </w:rPr>
              <w:t xml:space="preserve">    </w:t>
            </w:r>
            <w:r>
              <w:rPr>
                <w:rFonts w:hint="eastAsia" w:ascii="宋体" w:hAnsi="宋体" w:cs="宋体"/>
              </w:rPr>
              <w:t>（元）</w:t>
            </w:r>
          </w:p>
          <w:p>
            <w:pPr>
              <w:spacing w:line="360" w:lineRule="auto"/>
              <w:rPr>
                <w:rFonts w:hint="eastAsia" w:ascii="宋体" w:hAnsi="宋体" w:cs="宋体"/>
              </w:rPr>
            </w:pPr>
            <w:r>
              <w:rPr>
                <w:rFonts w:hint="eastAsia" w:ascii="宋体" w:hAnsi="宋体" w:cs="宋体"/>
                <w:u w:val="single"/>
              </w:rPr>
              <w:t xml:space="preserve">小写：               </w:t>
            </w:r>
            <w:r>
              <w:rPr>
                <w:rFonts w:hint="eastAsia" w:ascii="宋体" w:hAnsi="宋体" w:cs="宋体"/>
              </w:rPr>
              <w:t>（元）</w:t>
            </w:r>
          </w:p>
        </w:tc>
        <w:tc>
          <w:tcPr>
            <w:tcW w:w="1908" w:type="dxa"/>
            <w:noWrap w:val="0"/>
            <w:vAlign w:val="center"/>
          </w:tcPr>
          <w:p>
            <w:pPr>
              <w:spacing w:line="360" w:lineRule="auto"/>
              <w:jc w:val="center"/>
              <w:rPr>
                <w:rFonts w:ascii="宋体" w:hAnsi="宋体" w:cs="宋体"/>
                <w:u w:val="single"/>
              </w:rPr>
            </w:pPr>
            <w:r>
              <w:rPr>
                <w:rFonts w:hint="eastAsia" w:ascii="宋体" w:hAnsi="宋体" w:cs="宋体"/>
                <w:szCs w:val="21"/>
              </w:rPr>
              <w:t>人民币：</w:t>
            </w:r>
            <w:r>
              <w:rPr>
                <w:rFonts w:hint="eastAsia" w:cs="宋体"/>
                <w:szCs w:val="21"/>
                <w:lang w:val="en-US" w:eastAsia="zh-CN"/>
              </w:rPr>
              <w:t>19462</w:t>
            </w:r>
            <w:r>
              <w:rPr>
                <w:rFonts w:hint="eastAsia" w:ascii="宋体" w:hAnsi="宋体" w:cs="宋体"/>
                <w:szCs w:val="21"/>
              </w:rPr>
              <w:t>元</w:t>
            </w:r>
          </w:p>
        </w:tc>
      </w:tr>
    </w:tbl>
    <w:p>
      <w:pPr>
        <w:widowControl/>
        <w:autoSpaceDE/>
        <w:autoSpaceDN/>
        <w:spacing w:before="0" w:after="0" w:line="400" w:lineRule="exact"/>
        <w:ind w:left="945" w:right="0" w:hanging="945" w:hangingChars="450"/>
        <w:jc w:val="left"/>
        <w:rPr>
          <w:rFonts w:ascii="宋体" w:hAnsi="宋体" w:cs="宋体"/>
          <w:color w:val="auto"/>
          <w:sz w:val="21"/>
          <w:szCs w:val="20"/>
          <w:highlight w:val="none"/>
          <w:lang w:val="en-US" w:bidi="ar-SA"/>
        </w:rPr>
      </w:pPr>
    </w:p>
    <w:p>
      <w:pPr>
        <w:widowControl/>
        <w:autoSpaceDE/>
        <w:autoSpaceDN/>
        <w:snapToGrid w:val="0"/>
        <w:spacing w:before="0" w:after="0" w:line="240" w:lineRule="auto"/>
        <w:ind w:left="0" w:right="0"/>
        <w:jc w:val="left"/>
        <w:rPr>
          <w:rFonts w:ascii="宋体" w:hAnsi="宋体" w:cs="宋体"/>
          <w:color w:val="auto"/>
          <w:sz w:val="21"/>
          <w:szCs w:val="20"/>
          <w:highlight w:val="none"/>
          <w:lang w:val="en-US" w:bidi="ar-SA"/>
        </w:rPr>
      </w:pPr>
    </w:p>
    <w:p>
      <w:pPr>
        <w:widowControl/>
        <w:autoSpaceDE/>
        <w:autoSpaceDN/>
        <w:spacing w:before="0" w:after="120" w:line="360" w:lineRule="auto"/>
        <w:ind w:left="0" w:right="0"/>
        <w:jc w:val="both"/>
        <w:rPr>
          <w:rFonts w:ascii="宋体" w:hAnsi="宋体" w:cs="宋体"/>
          <w:color w:val="auto"/>
          <w:sz w:val="21"/>
          <w:szCs w:val="20"/>
          <w:highlight w:val="none"/>
          <w:lang w:val="en-US" w:bidi="ar-SA"/>
        </w:rPr>
      </w:pPr>
    </w:p>
    <w:p>
      <w:pPr>
        <w:widowControl/>
        <w:autoSpaceDE/>
        <w:autoSpaceDN/>
        <w:spacing w:before="0" w:after="120" w:line="360" w:lineRule="auto"/>
        <w:ind w:left="0" w:right="0"/>
        <w:jc w:val="both"/>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 xml:space="preserve">投标人授权代表签字或签章：          </w:t>
      </w:r>
    </w:p>
    <w:p>
      <w:pPr>
        <w:widowControl/>
        <w:autoSpaceDE/>
        <w:autoSpaceDN/>
        <w:spacing w:before="0" w:after="120" w:line="360" w:lineRule="auto"/>
        <w:ind w:left="0" w:right="0"/>
        <w:jc w:val="both"/>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 xml:space="preserve">投标人名称（加盖投标人公章）：                   </w:t>
      </w:r>
    </w:p>
    <w:p>
      <w:pPr>
        <w:widowControl/>
        <w:autoSpaceDE/>
        <w:autoSpaceDN/>
        <w:spacing w:before="0" w:after="120" w:line="360" w:lineRule="auto"/>
        <w:ind w:left="0" w:right="0"/>
        <w:jc w:val="both"/>
        <w:rPr>
          <w:rFonts w:ascii="宋体" w:hAnsi="宋体" w:cs="宋体"/>
          <w:b/>
          <w:bCs/>
          <w:color w:val="auto"/>
          <w:sz w:val="21"/>
          <w:szCs w:val="20"/>
          <w:highlight w:val="none"/>
          <w:lang w:val="en-US" w:bidi="ar-SA"/>
        </w:rPr>
      </w:pPr>
      <w:r>
        <w:rPr>
          <w:rFonts w:hint="eastAsia" w:ascii="宋体" w:hAnsi="宋体" w:cs="宋体"/>
          <w:color w:val="auto"/>
          <w:sz w:val="21"/>
          <w:szCs w:val="20"/>
          <w:highlight w:val="none"/>
          <w:lang w:val="en-US" w:bidi="ar-SA"/>
        </w:rPr>
        <w:t xml:space="preserve">日期：              </w:t>
      </w:r>
    </w:p>
    <w:bookmarkEnd w:id="37"/>
    <w:bookmarkEnd w:id="38"/>
    <w:p>
      <w:pPr>
        <w:widowControl w:val="0"/>
        <w:tabs>
          <w:tab w:val="left" w:pos="654"/>
          <w:tab w:val="left" w:pos="1734"/>
          <w:tab w:val="left" w:pos="2814"/>
          <w:tab w:val="left" w:pos="3894"/>
          <w:tab w:val="left" w:pos="5334"/>
          <w:tab w:val="left" w:pos="6414"/>
          <w:tab w:val="left" w:pos="7254"/>
          <w:tab w:val="left" w:pos="8574"/>
          <w:tab w:val="left" w:pos="9654"/>
        </w:tabs>
        <w:autoSpaceDE/>
        <w:autoSpaceDN/>
        <w:spacing w:before="0" w:after="0" w:line="360" w:lineRule="auto"/>
        <w:ind w:left="0" w:right="0" w:firstLine="315" w:firstLineChars="150"/>
        <w:jc w:val="both"/>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备注：</w:t>
      </w:r>
    </w:p>
    <w:p>
      <w:pPr>
        <w:widowControl w:val="0"/>
        <w:tabs>
          <w:tab w:val="left" w:pos="654"/>
          <w:tab w:val="left" w:pos="1734"/>
          <w:tab w:val="left" w:pos="2814"/>
          <w:tab w:val="left" w:pos="3894"/>
          <w:tab w:val="left" w:pos="5334"/>
          <w:tab w:val="left" w:pos="6414"/>
          <w:tab w:val="left" w:pos="7254"/>
          <w:tab w:val="left" w:pos="8574"/>
          <w:tab w:val="left" w:pos="9654"/>
        </w:tabs>
        <w:autoSpaceDE/>
        <w:autoSpaceDN/>
        <w:spacing w:before="0" w:after="0" w:line="360" w:lineRule="auto"/>
        <w:ind w:left="0" w:right="0" w:firstLine="315" w:firstLineChars="150"/>
        <w:jc w:val="both"/>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1．中文大写金额用汉字，如壹、贰、叁、肆、伍、陆、柒、捌、玖、拾、佰、仟、万、亿、元、角、分、零、整（正）等。</w:t>
      </w:r>
    </w:p>
    <w:p>
      <w:pPr>
        <w:widowControl w:val="0"/>
        <w:tabs>
          <w:tab w:val="left" w:pos="654"/>
          <w:tab w:val="left" w:pos="1734"/>
          <w:tab w:val="left" w:pos="2814"/>
          <w:tab w:val="left" w:pos="3894"/>
          <w:tab w:val="left" w:pos="5334"/>
          <w:tab w:val="left" w:pos="6414"/>
          <w:tab w:val="left" w:pos="7254"/>
          <w:tab w:val="left" w:pos="8574"/>
          <w:tab w:val="left" w:pos="9654"/>
        </w:tabs>
        <w:autoSpaceDE/>
        <w:autoSpaceDN/>
        <w:spacing w:before="0" w:after="0" w:line="360" w:lineRule="auto"/>
        <w:ind w:left="0" w:right="0" w:firstLine="315" w:firstLineChars="150"/>
        <w:jc w:val="both"/>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2．</w:t>
      </w:r>
      <w:r>
        <w:rPr>
          <w:rFonts w:hint="eastAsia" w:ascii="宋体" w:hAnsi="宋体" w:cs="宋体"/>
          <w:bCs/>
          <w:color w:val="auto"/>
          <w:sz w:val="21"/>
          <w:szCs w:val="20"/>
          <w:highlight w:val="none"/>
          <w:lang w:val="en-US" w:bidi="ar-SA"/>
        </w:rPr>
        <w:t>本项目报价采用</w:t>
      </w:r>
      <w:r>
        <w:rPr>
          <w:rFonts w:hint="eastAsia" w:cs="宋体"/>
          <w:bCs/>
          <w:color w:val="auto"/>
          <w:sz w:val="21"/>
          <w:szCs w:val="20"/>
          <w:highlight w:val="none"/>
          <w:lang w:val="en-US" w:eastAsia="zh-CN" w:bidi="ar-SA"/>
        </w:rPr>
        <w:t>总</w:t>
      </w:r>
      <w:r>
        <w:rPr>
          <w:rFonts w:hint="eastAsia" w:ascii="宋体" w:hAnsi="宋体" w:cs="宋体"/>
          <w:bCs/>
          <w:color w:val="auto"/>
          <w:sz w:val="21"/>
          <w:szCs w:val="20"/>
          <w:highlight w:val="none"/>
          <w:lang w:val="en-US" w:bidi="ar-SA"/>
        </w:rPr>
        <w:t>价报价的方式，投标人的投标</w:t>
      </w:r>
      <w:r>
        <w:rPr>
          <w:rFonts w:hint="eastAsia" w:cs="宋体"/>
          <w:bCs/>
          <w:color w:val="auto"/>
          <w:sz w:val="21"/>
          <w:szCs w:val="20"/>
          <w:highlight w:val="none"/>
          <w:lang w:val="en-US" w:eastAsia="zh-CN" w:bidi="ar-SA"/>
        </w:rPr>
        <w:t>总</w:t>
      </w:r>
      <w:r>
        <w:rPr>
          <w:rFonts w:hint="eastAsia" w:ascii="宋体" w:hAnsi="宋体" w:cs="宋体"/>
          <w:bCs/>
          <w:color w:val="auto"/>
          <w:sz w:val="21"/>
          <w:szCs w:val="20"/>
          <w:highlight w:val="none"/>
          <w:lang w:val="en-US" w:bidi="ar-SA"/>
        </w:rPr>
        <w:t>价不能高于最高限价，否则其报价将被认定为无效报价。</w:t>
      </w:r>
      <w:r>
        <w:rPr>
          <w:rFonts w:hint="eastAsia" w:ascii="宋体" w:hAnsi="宋体" w:cs="宋体"/>
          <w:bCs/>
          <w:color w:val="auto"/>
          <w:sz w:val="21"/>
          <w:szCs w:val="21"/>
          <w:highlight w:val="none"/>
          <w:lang w:val="en-US" w:bidi="ar-SA"/>
        </w:rPr>
        <w:t>除</w:t>
      </w:r>
      <w:r>
        <w:rPr>
          <w:rFonts w:hint="eastAsia" w:ascii="宋体" w:hAnsi="宋体" w:cs="宋体"/>
          <w:color w:val="auto"/>
          <w:sz w:val="21"/>
          <w:szCs w:val="21"/>
          <w:highlight w:val="none"/>
          <w:lang w:val="en-US" w:bidi="ar-SA"/>
        </w:rPr>
        <w:t>招标文件另有规定外，投标文件内不得含有任何对本报价进行价格折扣的说明或者资料，否则为无效投标。</w:t>
      </w:r>
    </w:p>
    <w:p>
      <w:pPr>
        <w:widowControl/>
        <w:autoSpaceDE/>
        <w:autoSpaceDN/>
        <w:spacing w:before="0" w:after="0" w:line="360" w:lineRule="auto"/>
        <w:ind w:left="0" w:right="0"/>
        <w:jc w:val="left"/>
        <w:rPr>
          <w:rFonts w:hint="eastAsia" w:ascii="宋体" w:hAnsi="宋体" w:cs="宋体"/>
          <w:color w:val="auto"/>
          <w:sz w:val="21"/>
          <w:szCs w:val="21"/>
          <w:highlight w:val="none"/>
          <w:lang w:val="en-US" w:bidi="ar-SA"/>
        </w:rPr>
      </w:pPr>
    </w:p>
    <w:p>
      <w:pPr>
        <w:widowControl/>
        <w:autoSpaceDE/>
        <w:autoSpaceDN/>
        <w:spacing w:before="0" w:after="0" w:line="360" w:lineRule="auto"/>
        <w:ind w:left="0" w:right="0"/>
        <w:jc w:val="left"/>
        <w:rPr>
          <w:rFonts w:hint="eastAsia" w:ascii="宋体" w:hAnsi="宋体" w:cs="宋体"/>
          <w:color w:val="auto"/>
          <w:sz w:val="21"/>
          <w:szCs w:val="21"/>
          <w:highlight w:val="none"/>
          <w:lang w:val="en-US" w:bidi="ar-SA"/>
        </w:rPr>
      </w:pPr>
    </w:p>
    <w:p>
      <w:pPr>
        <w:widowControl/>
        <w:autoSpaceDE/>
        <w:autoSpaceDN/>
        <w:spacing w:before="0" w:after="0" w:line="360" w:lineRule="auto"/>
        <w:ind w:left="0" w:right="0"/>
        <w:jc w:val="left"/>
        <w:rPr>
          <w:rFonts w:hint="eastAsia" w:ascii="宋体" w:hAnsi="宋体" w:cs="宋体"/>
          <w:color w:val="auto"/>
          <w:sz w:val="21"/>
          <w:szCs w:val="21"/>
          <w:highlight w:val="none"/>
          <w:lang w:val="en-US" w:bidi="ar-SA"/>
        </w:rPr>
      </w:pPr>
    </w:p>
    <w:p>
      <w:pPr>
        <w:rPr>
          <w:rFonts w:ascii="Times New Roman" w:hAnsi="Times New Roman" w:cs="Times New Roman"/>
          <w:color w:val="auto"/>
          <w:sz w:val="21"/>
          <w:szCs w:val="20"/>
          <w:highlight w:val="none"/>
          <w:lang w:val="en-US" w:bidi="ar-SA"/>
        </w:rPr>
      </w:pPr>
      <w:r>
        <w:rPr>
          <w:rFonts w:ascii="Times New Roman" w:hAnsi="Times New Roman" w:cs="Times New Roman"/>
          <w:color w:val="auto"/>
          <w:sz w:val="21"/>
          <w:szCs w:val="20"/>
          <w:highlight w:val="none"/>
          <w:lang w:val="en-US" w:bidi="ar-SA"/>
        </w:rPr>
        <w:br w:type="page"/>
      </w:r>
    </w:p>
    <w:p>
      <w:pPr>
        <w:widowControl/>
        <w:autoSpaceDE/>
        <w:autoSpaceDN/>
        <w:snapToGrid w:val="0"/>
        <w:spacing w:before="0" w:after="0" w:line="240" w:lineRule="auto"/>
        <w:ind w:left="0" w:right="0"/>
        <w:jc w:val="center"/>
        <w:rPr>
          <w:rFonts w:ascii="宋体" w:hAnsi="宋体" w:cs="宋体"/>
          <w:b/>
          <w:color w:val="auto"/>
          <w:sz w:val="24"/>
          <w:szCs w:val="20"/>
          <w:highlight w:val="none"/>
          <w:lang w:val="en-US" w:bidi="ar-SA"/>
        </w:rPr>
      </w:pPr>
      <w:r>
        <w:rPr>
          <w:rFonts w:hint="eastAsia" w:ascii="宋体" w:hAnsi="宋体" w:cs="宋体"/>
          <w:b/>
          <w:color w:val="auto"/>
          <w:sz w:val="24"/>
          <w:szCs w:val="24"/>
          <w:highlight w:val="none"/>
          <w:lang w:val="en-US" w:bidi="ar-SA"/>
        </w:rPr>
        <w:t>2.</w:t>
      </w:r>
      <w:r>
        <w:rPr>
          <w:rFonts w:hint="eastAsia" w:cs="宋体"/>
          <w:b/>
          <w:color w:val="auto"/>
          <w:sz w:val="24"/>
          <w:szCs w:val="24"/>
          <w:highlight w:val="none"/>
          <w:lang w:val="en-US" w:eastAsia="zh-CN" w:bidi="ar-SA"/>
        </w:rPr>
        <w:t>2分项</w:t>
      </w:r>
      <w:r>
        <w:rPr>
          <w:rFonts w:hint="eastAsia" w:ascii="宋体" w:hAnsi="宋体" w:cs="宋体"/>
          <w:b/>
          <w:color w:val="auto"/>
          <w:sz w:val="24"/>
          <w:szCs w:val="24"/>
          <w:highlight w:val="none"/>
          <w:lang w:val="en-US" w:bidi="ar-SA"/>
        </w:rPr>
        <w:t>报价表</w:t>
      </w:r>
    </w:p>
    <w:tbl>
      <w:tblPr>
        <w:tblStyle w:val="19"/>
        <w:tblpPr w:leftFromText="180" w:rightFromText="180" w:vertAnchor="text" w:horzAnchor="page" w:tblpX="1575" w:tblpY="212"/>
        <w:tblOverlap w:val="never"/>
        <w:tblW w:w="9029" w:type="dxa"/>
        <w:tblInd w:w="0" w:type="dxa"/>
        <w:tblLayout w:type="fixed"/>
        <w:tblCellMar>
          <w:top w:w="0" w:type="dxa"/>
          <w:left w:w="108" w:type="dxa"/>
          <w:bottom w:w="0" w:type="dxa"/>
          <w:right w:w="108" w:type="dxa"/>
        </w:tblCellMar>
      </w:tblPr>
      <w:tblGrid>
        <w:gridCol w:w="1578"/>
        <w:gridCol w:w="1173"/>
        <w:gridCol w:w="3722"/>
        <w:gridCol w:w="1640"/>
        <w:gridCol w:w="916"/>
      </w:tblGrid>
      <w:tr>
        <w:tblPrEx>
          <w:tblCellMar>
            <w:top w:w="0" w:type="dxa"/>
            <w:left w:w="108" w:type="dxa"/>
            <w:bottom w:w="0" w:type="dxa"/>
            <w:right w:w="108" w:type="dxa"/>
          </w:tblCellMar>
        </w:tblPrEx>
        <w:trPr>
          <w:trHeight w:val="490" w:hRule="atLeast"/>
        </w:trPr>
        <w:tc>
          <w:tcPr>
            <w:tcW w:w="1578"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序号</w:t>
            </w:r>
          </w:p>
        </w:tc>
        <w:tc>
          <w:tcPr>
            <w:tcW w:w="117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eastAsia="宋体"/>
                <w:lang w:val="en-US" w:eastAsia="zh-CN"/>
              </w:rPr>
            </w:pPr>
            <w:r>
              <w:rPr>
                <w:rFonts w:hint="eastAsia" w:ascii="宋体" w:hAnsi="宋体" w:eastAsia="宋体" w:cs="宋体"/>
                <w:i w:val="0"/>
                <w:iCs w:val="0"/>
                <w:color w:val="000000"/>
                <w:kern w:val="0"/>
                <w:sz w:val="21"/>
                <w:szCs w:val="21"/>
                <w:u w:val="none"/>
                <w:lang w:val="en-US" w:eastAsia="zh-CN" w:bidi="ar"/>
              </w:rPr>
              <w:t>机器类型</w:t>
            </w:r>
          </w:p>
        </w:tc>
        <w:tc>
          <w:tcPr>
            <w:tcW w:w="3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机器位置</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21"/>
                <w:szCs w:val="21"/>
                <w:u w:val="none"/>
                <w:lang w:val="en-US" w:eastAsia="zh-CN" w:bidi="ar"/>
              </w:rPr>
              <w:t>单价</w:t>
            </w:r>
            <w:r>
              <w:rPr>
                <w:rFonts w:hint="eastAsia" w:ascii="宋体" w:hAnsi="宋体" w:eastAsia="宋体" w:cs="宋体"/>
                <w:lang w:val="en-US" w:eastAsia="zh-CN" w:bidi="ar"/>
              </w:rPr>
              <w:t>/</w:t>
            </w:r>
            <w:r>
              <w:rPr>
                <w:rFonts w:ascii="宋体" w:eastAsia="宋体" w:cs="宋体"/>
                <w:sz w:val="21"/>
                <w:szCs w:val="21"/>
                <w:lang w:val="en-US" w:eastAsia="zh-CN" w:bidi="ar"/>
              </w:rPr>
              <w:t>台</w:t>
            </w:r>
            <w:r>
              <w:rPr>
                <w:rFonts w:hint="eastAsia" w:ascii="宋体" w:hAnsi="宋体" w:eastAsia="宋体" w:cs="宋体"/>
                <w:lang w:val="en-US" w:eastAsia="zh-CN" w:bidi="ar"/>
              </w:rPr>
              <w:t>/</w:t>
            </w:r>
            <w:r>
              <w:rPr>
                <w:rFonts w:ascii="宋体" w:eastAsia="宋体" w:cs="宋体"/>
                <w:sz w:val="21"/>
                <w:szCs w:val="21"/>
                <w:lang w:val="en-US" w:eastAsia="zh-CN" w:bidi="ar"/>
              </w:rPr>
              <w:t>月</w:t>
            </w:r>
          </w:p>
        </w:tc>
        <w:tc>
          <w:tcPr>
            <w:tcW w:w="9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eastAsia="宋体"/>
                <w:lang w:eastAsia="zh-CN"/>
              </w:rPr>
            </w:pPr>
            <w:r>
              <w:rPr>
                <w:rFonts w:hint="eastAsia" w:ascii="宋体" w:hAnsi="宋体" w:eastAsia="宋体" w:cs="宋体"/>
                <w:i w:val="0"/>
                <w:iCs w:val="0"/>
                <w:color w:val="000000"/>
                <w:kern w:val="0"/>
                <w:sz w:val="21"/>
                <w:szCs w:val="21"/>
                <w:u w:val="none"/>
                <w:lang w:val="en-US" w:eastAsia="zh-CN" w:bidi="ar"/>
              </w:rPr>
              <w:t>金额（元）</w:t>
            </w: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3722"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急诊输液区</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3722"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1楼大厅询诊台</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3722"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2楼门诊超声科</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3722"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3楼中医康复科</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3722"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3楼中医康复科办公室</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3722"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3楼医护办公室</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3722"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3楼电梯后面</w:t>
            </w:r>
          </w:p>
        </w:tc>
        <w:tc>
          <w:tcPr>
            <w:tcW w:w="16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门诊4楼体检科</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住院部4楼</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住院部4楼</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住院部5楼 </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02"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住院部5楼 </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38"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住院部6楼</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住院部6楼</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住院部7楼</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1578" w:type="dxa"/>
            <w:tcBorders>
              <w:top w:val="single" w:color="auto" w:sz="4" w:space="0"/>
              <w:left w:val="single" w:color="auto" w:sz="4" w:space="0"/>
              <w:bottom w:val="single" w:color="auto" w:sz="4" w:space="0"/>
              <w:right w:val="single" w:color="auto" w:sz="4" w:space="0"/>
            </w:tcBorders>
            <w:vAlign w:val="bottom"/>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1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分机</w:t>
            </w:r>
          </w:p>
        </w:tc>
        <w:tc>
          <w:tcPr>
            <w:tcW w:w="372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住院部7楼</w:t>
            </w:r>
          </w:p>
        </w:tc>
        <w:tc>
          <w:tcPr>
            <w:tcW w:w="1640"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16"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tblPrEx>
          <w:tblCellMar>
            <w:top w:w="0" w:type="dxa"/>
            <w:left w:w="108" w:type="dxa"/>
            <w:bottom w:w="0" w:type="dxa"/>
            <w:right w:w="108" w:type="dxa"/>
          </w:tblCellMar>
        </w:tblPrEx>
        <w:trPr>
          <w:trHeight w:val="327" w:hRule="atLeast"/>
        </w:trPr>
        <w:tc>
          <w:tcPr>
            <w:tcW w:w="275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合计</w:t>
            </w:r>
          </w:p>
        </w:tc>
        <w:tc>
          <w:tcPr>
            <w:tcW w:w="6278"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大写：                  元整</w:t>
            </w:r>
          </w:p>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（小写：￥              元）</w:t>
            </w:r>
          </w:p>
        </w:tc>
      </w:tr>
    </w:tbl>
    <w:p>
      <w:pPr>
        <w:rPr>
          <w:lang w:val="en-US"/>
        </w:rPr>
      </w:pPr>
    </w:p>
    <w:p>
      <w:pPr>
        <w:pStyle w:val="2"/>
        <w:rPr>
          <w:lang w:val="en-US"/>
        </w:rPr>
      </w:pPr>
    </w:p>
    <w:p>
      <w:pPr>
        <w:widowControl/>
        <w:autoSpaceDE/>
        <w:autoSpaceDN/>
        <w:spacing w:before="0" w:after="120" w:line="360" w:lineRule="auto"/>
        <w:ind w:left="0" w:right="0"/>
        <w:jc w:val="both"/>
        <w:rPr>
          <w:rFonts w:ascii="宋体" w:hAnsi="宋体" w:cs="宋体"/>
          <w:color w:val="auto"/>
          <w:sz w:val="21"/>
          <w:szCs w:val="20"/>
          <w:highlight w:val="none"/>
          <w:lang w:val="en-US" w:bidi="ar-SA"/>
        </w:rPr>
      </w:pPr>
      <w:r>
        <w:rPr>
          <w:rFonts w:hint="eastAsia" w:ascii="宋体" w:hAnsi="宋体" w:cs="宋体"/>
          <w:color w:val="auto"/>
          <w:sz w:val="21"/>
          <w:szCs w:val="20"/>
          <w:highlight w:val="none"/>
          <w:lang w:val="en-US" w:bidi="ar-SA"/>
        </w:rPr>
        <w:t xml:space="preserve">投标人名称（加盖投标人公章）：                   </w:t>
      </w:r>
    </w:p>
    <w:p>
      <w:pPr>
        <w:widowControl/>
        <w:autoSpaceDE/>
        <w:autoSpaceDN/>
        <w:spacing w:before="0" w:after="120" w:line="360" w:lineRule="auto"/>
        <w:ind w:left="0" w:right="0"/>
        <w:jc w:val="both"/>
        <w:rPr>
          <w:rFonts w:ascii="宋体" w:hAnsi="宋体" w:cs="宋体"/>
          <w:b/>
          <w:bCs/>
          <w:color w:val="auto"/>
          <w:sz w:val="21"/>
          <w:szCs w:val="20"/>
          <w:highlight w:val="none"/>
          <w:lang w:val="en-US" w:bidi="ar-SA"/>
        </w:rPr>
      </w:pPr>
      <w:r>
        <w:rPr>
          <w:rFonts w:hint="eastAsia" w:ascii="宋体" w:hAnsi="宋体" w:cs="宋体"/>
          <w:color w:val="auto"/>
          <w:sz w:val="21"/>
          <w:szCs w:val="20"/>
          <w:highlight w:val="none"/>
          <w:lang w:val="en-US" w:bidi="ar-SA"/>
        </w:rPr>
        <w:t xml:space="preserve">日期：              </w:t>
      </w:r>
    </w:p>
    <w:p>
      <w:pPr>
        <w:widowControl w:val="0"/>
        <w:tabs>
          <w:tab w:val="left" w:pos="654"/>
          <w:tab w:val="left" w:pos="1734"/>
          <w:tab w:val="left" w:pos="2814"/>
          <w:tab w:val="left" w:pos="3894"/>
          <w:tab w:val="left" w:pos="5334"/>
          <w:tab w:val="left" w:pos="6414"/>
          <w:tab w:val="left" w:pos="7254"/>
          <w:tab w:val="left" w:pos="8574"/>
          <w:tab w:val="left" w:pos="9654"/>
        </w:tabs>
        <w:autoSpaceDE/>
        <w:autoSpaceDN/>
        <w:spacing w:before="0" w:after="0" w:line="360" w:lineRule="auto"/>
        <w:ind w:left="0" w:right="0" w:firstLine="315" w:firstLineChars="150"/>
        <w:jc w:val="both"/>
        <w:rPr>
          <w:rFonts w:hint="eastAsia" w:ascii="宋体" w:hAnsi="宋体" w:cs="宋体"/>
          <w:color w:val="auto"/>
          <w:sz w:val="21"/>
          <w:szCs w:val="21"/>
          <w:highlight w:val="none"/>
          <w:lang w:val="en-US" w:bidi="ar-SA"/>
        </w:rPr>
      </w:pPr>
      <w:r>
        <w:rPr>
          <w:rFonts w:hint="eastAsia" w:ascii="宋体" w:hAnsi="宋体" w:cs="宋体"/>
          <w:color w:val="auto"/>
          <w:sz w:val="21"/>
          <w:szCs w:val="21"/>
          <w:highlight w:val="none"/>
          <w:lang w:val="en-US" w:bidi="ar-SA"/>
        </w:rPr>
        <w:t>备注：中文大写金额用汉字，如壹、贰、叁、肆、伍、陆、柒、捌、玖、拾、佰、仟、万、亿、元、角、分、零、整（正）等。</w:t>
      </w:r>
    </w:p>
    <w:p>
      <w:pPr>
        <w:pStyle w:val="2"/>
        <w:rPr>
          <w:lang w:val="en-US"/>
        </w:rPr>
      </w:pPr>
    </w:p>
    <w:p>
      <w:pPr>
        <w:pStyle w:val="2"/>
        <w:rPr>
          <w:lang w:val="en-US"/>
        </w:rPr>
      </w:pPr>
    </w:p>
    <w:p>
      <w:pPr>
        <w:rPr>
          <w:lang w:val="en-US"/>
        </w:rPr>
      </w:pPr>
      <w:r>
        <w:rPr>
          <w:lang w:val="en-US"/>
        </w:rPr>
        <w:br w:type="page"/>
      </w:r>
    </w:p>
    <w:bookmarkEnd w:id="17"/>
    <w:bookmarkEnd w:id="18"/>
    <w:bookmarkEnd w:id="19"/>
    <w:bookmarkEnd w:id="20"/>
    <w:bookmarkEnd w:id="21"/>
    <w:bookmarkEnd w:id="22"/>
    <w:bookmarkEnd w:id="23"/>
    <w:bookmarkEnd w:id="24"/>
    <w:bookmarkEnd w:id="25"/>
    <w:bookmarkEnd w:id="26"/>
    <w:bookmarkEnd w:id="27"/>
    <w:p>
      <w:pPr>
        <w:widowControl w:val="0"/>
        <w:autoSpaceDE/>
        <w:autoSpaceDN/>
        <w:spacing w:before="0" w:after="0" w:line="360" w:lineRule="auto"/>
        <w:ind w:left="0" w:right="0"/>
        <w:jc w:val="both"/>
        <w:rPr>
          <w:rFonts w:hint="eastAsia" w:ascii="宋体" w:hAnsi="宋体" w:eastAsia="宋体" w:cs="Times New Roman"/>
          <w:b/>
          <w:sz w:val="21"/>
          <w:szCs w:val="21"/>
          <w:lang w:val="en-US" w:bidi="ar-SA"/>
        </w:rPr>
      </w:pPr>
      <w:r>
        <w:rPr>
          <w:rFonts w:hint="eastAsia" w:ascii="Times New Roman" w:cs="Times New Roman"/>
          <w:b/>
          <w:bCs/>
          <w:kern w:val="2"/>
          <w:sz w:val="24"/>
          <w:szCs w:val="24"/>
          <w:lang w:val="en-US" w:eastAsia="zh-CN" w:bidi="ar-SA"/>
        </w:rPr>
        <w:t>二</w:t>
      </w:r>
      <w:r>
        <w:rPr>
          <w:rFonts w:hint="eastAsia" w:ascii="Times New Roman" w:hAnsi="宋体" w:eastAsia="宋体" w:cs="Times New Roman"/>
          <w:b/>
          <w:bCs/>
          <w:kern w:val="2"/>
          <w:sz w:val="24"/>
          <w:szCs w:val="24"/>
          <w:lang w:val="en-US" w:eastAsia="zh-CN" w:bidi="ar-SA"/>
        </w:rPr>
        <w:t>、</w:t>
      </w:r>
      <w:r>
        <w:rPr>
          <w:rFonts w:hint="eastAsia" w:ascii="Times New Roman" w:hAnsi="宋体" w:eastAsia="宋体" w:cs="Times New Roman"/>
          <w:b/>
          <w:bCs/>
          <w:kern w:val="2"/>
          <w:sz w:val="24"/>
          <w:szCs w:val="24"/>
          <w:lang w:val="en-US" w:bidi="ar-SA"/>
        </w:rPr>
        <w:t>法定代表人（或者负责人）资格证明书及授权委托书</w:t>
      </w: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p>
    <w:p>
      <w:pPr>
        <w:widowControl w:val="0"/>
        <w:autoSpaceDE/>
        <w:autoSpaceDN/>
        <w:spacing w:before="0" w:after="0" w:line="360" w:lineRule="auto"/>
        <w:ind w:left="0" w:right="0"/>
        <w:jc w:val="center"/>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法定代表人（或者负责人）资格证明书</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539" w:firstLineChars="257"/>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（姓名）先生/女士，现任我单位（职务名称），为本单位法定代表人（或者负责人），特此证明。</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单位（盖公章）：</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代表人性别：</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年龄：</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身份证明号码：</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联系电话：</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营业执照号码：</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说明：投标人应提供法定代表人（或者负责人）身份证明复印件。</w:t>
      </w:r>
    </w:p>
    <w:tbl>
      <w:tblPr>
        <w:tblStyle w:val="19"/>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trPr>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法定代表人（或者负责人）有效的身份证明复印件粘贴处（正面）</w:t>
            </w:r>
          </w:p>
        </w:tc>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法定代表人（或者负责人）有效的身份证明复印件粘贴处（反面）</w:t>
            </w:r>
          </w:p>
        </w:tc>
      </w:tr>
    </w:tbl>
    <w:p>
      <w:pPr>
        <w:widowControl/>
        <w:autoSpaceDE/>
        <w:autoSpaceDN/>
        <w:spacing w:before="0" w:after="0" w:line="360" w:lineRule="auto"/>
        <w:ind w:left="0" w:right="0" w:firstLine="42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r>
        <w:rPr>
          <w:rFonts w:hint="eastAsia" w:ascii="宋体" w:hAnsi="宋体" w:eastAsia="宋体" w:cs="Times New Roman"/>
          <w:b/>
          <w:sz w:val="21"/>
          <w:szCs w:val="21"/>
          <w:lang w:val="en-US" w:bidi="ar-SA"/>
        </w:rPr>
        <w:br w:type="page"/>
      </w:r>
      <w:r>
        <w:rPr>
          <w:rFonts w:hint="eastAsia" w:ascii="宋体" w:hAnsi="宋体" w:eastAsia="宋体" w:cs="Times New Roman"/>
          <w:b/>
          <w:sz w:val="21"/>
          <w:szCs w:val="21"/>
          <w:lang w:val="en-US" w:bidi="ar-SA"/>
        </w:rPr>
        <w:t>法定代表人（或者负责人）授权委托书</w:t>
      </w:r>
    </w:p>
    <w:p>
      <w:pPr>
        <w:widowControl w:val="0"/>
        <w:autoSpaceDE/>
        <w:autoSpaceDN/>
        <w:spacing w:before="0" w:after="120" w:line="240" w:lineRule="auto"/>
        <w:ind w:left="0" w:right="0" w:firstLine="210" w:firstLineChars="100"/>
        <w:jc w:val="both"/>
        <w:rPr>
          <w:rFonts w:ascii="Times New Roman" w:hAnsi="Times New Roman" w:eastAsia="宋体" w:cs="Times New Roman"/>
          <w:kern w:val="2"/>
          <w:sz w:val="21"/>
          <w:szCs w:val="24"/>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bCs/>
          <w:sz w:val="21"/>
          <w:szCs w:val="21"/>
          <w:lang w:val="en-US" w:bidi="ar-SA"/>
        </w:rPr>
      </w:pPr>
      <w:r>
        <w:rPr>
          <w:rFonts w:hint="eastAsia" w:ascii="宋体" w:hAnsi="宋体" w:eastAsia="宋体" w:cs="Times New Roman"/>
          <w:bCs/>
          <w:sz w:val="21"/>
          <w:szCs w:val="21"/>
          <w:lang w:val="en-US" w:bidi="ar-SA"/>
        </w:rPr>
        <w:t>本授权书声明：我（姓名）系（投标人名称）的法定代表人</w:t>
      </w:r>
      <w:r>
        <w:rPr>
          <w:rFonts w:hint="eastAsia" w:ascii="宋体" w:hAnsi="宋体" w:eastAsia="宋体" w:cs="Times New Roman"/>
          <w:sz w:val="21"/>
          <w:szCs w:val="21"/>
          <w:lang w:val="en-US" w:bidi="ar-SA"/>
        </w:rPr>
        <w:t>（或者负责人）</w:t>
      </w:r>
      <w:r>
        <w:rPr>
          <w:rFonts w:hint="eastAsia" w:ascii="宋体" w:hAnsi="宋体" w:eastAsia="宋体" w:cs="Times New Roman"/>
          <w:bCs/>
          <w:sz w:val="21"/>
          <w:szCs w:val="21"/>
          <w:lang w:val="en-US" w:bidi="ar-SA"/>
        </w:rPr>
        <w:t>，现授权（单位名称）的（被授权人的姓名、职务）为本公司的合法代理人，以本公司的名义参加</w:t>
      </w:r>
      <w:r>
        <w:rPr>
          <w:rFonts w:hint="eastAsia" w:ascii="宋体" w:hAnsi="宋体" w:eastAsia="宋体" w:cs="Times New Roman"/>
          <w:bCs/>
          <w:sz w:val="21"/>
          <w:szCs w:val="21"/>
          <w:u w:val="single"/>
          <w:lang w:val="en-US" w:eastAsia="zh-CN" w:bidi="ar-SA"/>
        </w:rPr>
        <w:t xml:space="preserve">            </w:t>
      </w:r>
      <w:r>
        <w:rPr>
          <w:rFonts w:hint="eastAsia" w:ascii="宋体" w:hAnsi="宋体" w:eastAsia="宋体" w:cs="Times New Roman"/>
          <w:sz w:val="21"/>
          <w:szCs w:val="21"/>
          <w:u w:val="single"/>
          <w:lang w:val="en-US" w:bidi="ar-SA"/>
        </w:rPr>
        <w:t>项目（项目编号：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Times New Roman"/>
          <w:bCs/>
          <w:sz w:val="21"/>
          <w:szCs w:val="21"/>
          <w:lang w:val="en-US" w:bidi="ar-SA"/>
        </w:rPr>
        <w:t>的投标活动。代理人对该项目所签署的一切文件和处理与之有关的一切事务，我均予以承认。</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代理人无转委托权。特此委托。</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法定代表人（或者负责人）（签字或者盖私章）：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投标人名称（加盖公章）：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说明：</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1.有效期限：与本单位投标文件中标注的投标有效期一致。</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2.投标代表为法定代表人（或者负责人），则本委托书不需提供。</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3.投标代表为法定代表人（或者负责人）授权委托人的，须提供本授权委托书及被授权人身份证明复印件，否则作无效投标处理。</w:t>
      </w: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ascii="宋体" w:hAnsi="宋体" w:eastAsia="宋体" w:cs="Times New Roman"/>
          <w:sz w:val="21"/>
          <w:szCs w:val="21"/>
          <w:lang w:val="en-US" w:bidi="ar-SA"/>
        </w:rPr>
      </w:pPr>
      <w:r>
        <w:rPr>
          <w:rFonts w:hint="eastAsia" w:ascii="宋体" w:hAnsi="宋体" w:eastAsia="宋体" w:cs="Times New Roman"/>
          <w:b/>
          <w:sz w:val="21"/>
          <w:szCs w:val="21"/>
          <w:lang w:val="en-US" w:bidi="ar-SA"/>
        </w:rPr>
        <w:t>说明：投标人应提供被授权人身份证明复印件。</w:t>
      </w:r>
    </w:p>
    <w:tbl>
      <w:tblPr>
        <w:tblStyle w:val="19"/>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jc w:val="center"/>
        </w:trPr>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被授权人有效的身份证明复印件粘贴处（正面）</w:t>
            </w:r>
          </w:p>
        </w:tc>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被授权人有效的身份证明复印件粘贴处（反面）</w:t>
            </w:r>
          </w:p>
        </w:tc>
      </w:tr>
    </w:tbl>
    <w:p>
      <w:pPr>
        <w:widowControl/>
        <w:autoSpaceDE/>
        <w:autoSpaceDN/>
        <w:spacing w:before="0" w:after="0" w:line="300" w:lineRule="auto"/>
        <w:ind w:left="0" w:right="0"/>
        <w:jc w:val="left"/>
        <w:rPr>
          <w:rFonts w:hint="eastAsia" w:ascii="宋体" w:hAnsi="宋体" w:eastAsia="宋体" w:cs="宋体"/>
          <w:b/>
          <w:sz w:val="24"/>
          <w:szCs w:val="24"/>
          <w:highlight w:val="none"/>
          <w:lang w:val="en-US" w:bidi="ar-SA"/>
        </w:rPr>
      </w:pPr>
      <w:r>
        <w:rPr>
          <w:rFonts w:ascii="宋体" w:hAnsi="宋体" w:eastAsia="宋体" w:cs="Times New Roman"/>
          <w:kern w:val="2"/>
          <w:sz w:val="21"/>
          <w:szCs w:val="21"/>
          <w:lang w:val="en-US" w:bidi="ar-SA"/>
        </w:rPr>
        <w:br w:type="page"/>
      </w:r>
      <w:r>
        <w:rPr>
          <w:rFonts w:hint="eastAsia" w:cs="宋体"/>
          <w:b/>
          <w:sz w:val="24"/>
          <w:szCs w:val="24"/>
          <w:highlight w:val="none"/>
          <w:lang w:val="en-US" w:eastAsia="zh-CN" w:bidi="ar-SA"/>
        </w:rPr>
        <w:t>三</w:t>
      </w:r>
      <w:r>
        <w:rPr>
          <w:rFonts w:hint="eastAsia" w:ascii="宋体" w:hAnsi="宋体" w:eastAsia="宋体" w:cs="宋体"/>
          <w:b/>
          <w:sz w:val="24"/>
          <w:szCs w:val="24"/>
          <w:highlight w:val="none"/>
          <w:lang w:val="en-US" w:eastAsia="zh-CN" w:bidi="ar-SA"/>
        </w:rPr>
        <w:t>、</w:t>
      </w:r>
      <w:r>
        <w:rPr>
          <w:rFonts w:hint="eastAsia" w:ascii="宋体" w:hAnsi="宋体" w:eastAsia="宋体" w:cs="宋体"/>
          <w:b/>
          <w:sz w:val="24"/>
          <w:szCs w:val="24"/>
          <w:highlight w:val="none"/>
          <w:lang w:val="en-US" w:bidi="ar-SA"/>
        </w:rPr>
        <w:t>资格声明函</w:t>
      </w: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r>
        <w:rPr>
          <w:rFonts w:hint="eastAsia" w:ascii="宋体" w:hAnsi="宋体" w:eastAsia="宋体" w:cs="Times New Roman"/>
          <w:b/>
          <w:sz w:val="21"/>
          <w:szCs w:val="21"/>
          <w:lang w:val="en-US" w:bidi="ar-SA"/>
        </w:rPr>
        <w:t>投标人资格声明函</w:t>
      </w:r>
    </w:p>
    <w:p>
      <w:pPr>
        <w:widowControl/>
        <w:autoSpaceDE/>
        <w:autoSpaceDN/>
        <w:spacing w:before="0" w:after="0" w:line="360" w:lineRule="auto"/>
        <w:ind w:left="0" w:right="0"/>
        <w:jc w:val="left"/>
        <w:rPr>
          <w:rFonts w:ascii="宋体" w:hAnsi="宋体" w:eastAsia="宋体" w:cs="宋体"/>
          <w:sz w:val="24"/>
          <w:szCs w:val="24"/>
          <w:lang w:val="en-US" w:bidi="ar-SA"/>
        </w:rPr>
      </w:pPr>
    </w:p>
    <w:p>
      <w:pPr>
        <w:widowControl/>
        <w:autoSpaceDE/>
        <w:autoSpaceDN/>
        <w:spacing w:before="0" w:after="0" w:line="240" w:lineRule="auto"/>
        <w:ind w:left="0" w:right="0"/>
        <w:jc w:val="left"/>
        <w:rPr>
          <w:rFonts w:ascii="宋体" w:hAnsi="宋体" w:eastAsia="宋体" w:cs="宋体"/>
          <w:sz w:val="21"/>
          <w:szCs w:val="20"/>
          <w:lang w:val="en-US" w:bidi="ar-SA"/>
        </w:rPr>
      </w:pPr>
      <w:r>
        <w:rPr>
          <w:rFonts w:hint="eastAsia" w:ascii="宋体" w:hAnsi="宋体" w:eastAsia="宋体" w:cs="宋体"/>
          <w:sz w:val="21"/>
          <w:szCs w:val="20"/>
          <w:lang w:val="en-US" w:bidi="ar-SA"/>
        </w:rPr>
        <w:t>致：</w:t>
      </w:r>
      <w:r>
        <w:rPr>
          <w:rFonts w:hint="eastAsia" w:ascii="宋体" w:hAnsi="宋体" w:eastAsia="宋体" w:cs="宋体"/>
          <w:sz w:val="21"/>
          <w:szCs w:val="20"/>
          <w:u w:val="single"/>
          <w:lang w:val="en-US" w:bidi="ar-SA"/>
        </w:rPr>
        <w:t>（采购人）</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关于贵方项目名称：</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lang w:val="en-US" w:bidi="ar-SA"/>
        </w:rPr>
        <w:t>项目</w:t>
      </w:r>
      <w:r>
        <w:rPr>
          <w:rFonts w:hint="eastAsia" w:ascii="宋体" w:hAnsi="宋体" w:eastAsia="宋体" w:cs="Times New Roman"/>
          <w:sz w:val="21"/>
          <w:szCs w:val="21"/>
          <w:u w:val="single"/>
          <w:lang w:val="en-US" w:bidi="ar-SA"/>
        </w:rPr>
        <w:t>（项目编号：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宋体"/>
          <w:sz w:val="21"/>
          <w:szCs w:val="20"/>
          <w:lang w:val="en-US" w:bidi="ar-SA"/>
        </w:rPr>
        <w:t>公告，本签字或签章人愿意参加磋商响应，提供响应文件中规定的服务，并证明提交的下列文件和说明是准确的和真实的。</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1.我方为本次采购所提交的所有证明其合格和资格的文件是真实的和正确的，并愿为其真实性和正确性承担法律责任；</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2.我方是依法注册的法人，在法律上、财务上和运作上完全独立于</w:t>
      </w:r>
      <w:r>
        <w:rPr>
          <w:rFonts w:hint="eastAsia" w:ascii="宋体" w:hAnsi="宋体" w:eastAsia="宋体" w:cs="宋体"/>
          <w:sz w:val="21"/>
          <w:szCs w:val="20"/>
          <w:u w:val="single"/>
          <w:lang w:val="en-US" w:bidi="ar-SA"/>
        </w:rPr>
        <w:t>（采购人名称）</w:t>
      </w:r>
      <w:r>
        <w:rPr>
          <w:rFonts w:hint="eastAsia" w:ascii="宋体" w:hAnsi="宋体" w:eastAsia="宋体" w:cs="宋体"/>
          <w:sz w:val="21"/>
          <w:szCs w:val="20"/>
          <w:lang w:val="en-US" w:bidi="ar-SA"/>
        </w:rPr>
        <w:t>（采购人）。</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3.满足《中华人民共和国政府釆购法》第二十二条规定。</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3.1具有独立承担民事责任的能力。</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3.2具有良好的商业信誉和健全的财务会计制度。</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3.3具有依法缴纳税收和社会保障资金的良好记录。</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3.4具有履行合同所必需的设备和专业技术能力。</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3.5参加政府采购活动前三年内，在经营活动中没有重大违法记录。</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3.6法律、行政法规规定的其他条件。</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4.单位负责人为同一人或者存在直接控股、管理关系的不同投标人，不得参加同一合同项下的政府采购活动。</w:t>
      </w:r>
    </w:p>
    <w:p>
      <w:pPr>
        <w:widowControl/>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5.为采购项目提供整体设计、规范编制或者项目管理、监理、检测等服务的投标人，不得再参加该采购项目同一合同项下的其他采购活动。</w:t>
      </w:r>
    </w:p>
    <w:p>
      <w:pPr>
        <w:widowControl/>
        <w:tabs>
          <w:tab w:val="left" w:pos="960"/>
        </w:tabs>
        <w:autoSpaceDE/>
        <w:autoSpaceDN/>
        <w:spacing w:before="0" w:after="0" w:line="240" w:lineRule="auto"/>
        <w:ind w:left="0" w:right="0" w:firstLine="435"/>
        <w:jc w:val="left"/>
        <w:rPr>
          <w:rFonts w:hint="eastAsia" w:ascii="宋体" w:hAnsi="宋体" w:eastAsia="宋体" w:cs="宋体"/>
          <w:sz w:val="21"/>
          <w:szCs w:val="20"/>
          <w:lang w:val="en-US" w:bidi="ar-SA"/>
        </w:rPr>
      </w:pPr>
      <w:r>
        <w:rPr>
          <w:rFonts w:hint="eastAsia" w:ascii="宋体" w:hAnsi="宋体" w:eastAsia="宋体" w:cs="宋体"/>
          <w:sz w:val="21"/>
          <w:szCs w:val="20"/>
          <w:lang w:val="en-US" w:bidi="ar-SA"/>
        </w:rPr>
        <w:t>附资格文件如下：</w:t>
      </w:r>
    </w:p>
    <w:p>
      <w:pPr>
        <w:widowControl/>
        <w:tabs>
          <w:tab w:val="left" w:pos="960"/>
        </w:tabs>
        <w:autoSpaceDE/>
        <w:autoSpaceDN/>
        <w:spacing w:before="0" w:after="0" w:line="240" w:lineRule="auto"/>
        <w:ind w:left="0" w:right="0" w:firstLine="435"/>
        <w:jc w:val="left"/>
        <w:rPr>
          <w:rFonts w:hint="eastAsia" w:ascii="宋体" w:hAnsi="宋体" w:eastAsia="宋体" w:cs="宋体"/>
          <w:sz w:val="21"/>
          <w:szCs w:val="20"/>
          <w:lang w:val="en-US" w:bidi="ar-SA"/>
        </w:rPr>
      </w:pPr>
      <w:r>
        <w:rPr>
          <w:rFonts w:hint="eastAsia" w:ascii="宋体" w:hAnsi="宋体" w:eastAsia="宋体" w:cs="宋体"/>
          <w:sz w:val="21"/>
          <w:szCs w:val="20"/>
          <w:lang w:val="en-US" w:bidi="ar-SA"/>
        </w:rPr>
        <w:t>（1）提供在中华人民共和国境内注册的法人或其他组织的营业执照或事业单位法人证书或社会团体法人登记证书复印件，如投标人为自然人的提供自然人身份证明复印件；如国家另有规定的，则从其规定，以上内容须加盖投标人公章；分支机构投标，须取得具有法人资格的总公司（总所）出具给分支机构的授权书，并提供总公司（总所）和分支机构的营业执照（执业许可证）复印件加盖投标人公章。已由总公司（总所）授权的，总公司（总所）取得的相关资质证书对分支机构有效，法律法规或者行业另有规定的除外；</w:t>
      </w:r>
    </w:p>
    <w:p>
      <w:pPr>
        <w:widowControl/>
        <w:tabs>
          <w:tab w:val="left" w:pos="960"/>
        </w:tabs>
        <w:autoSpaceDE/>
        <w:autoSpaceDN/>
        <w:spacing w:before="0" w:after="0" w:line="240" w:lineRule="auto"/>
        <w:ind w:left="0" w:right="0" w:firstLine="435"/>
        <w:jc w:val="left"/>
        <w:rPr>
          <w:rFonts w:hint="eastAsia" w:ascii="宋体" w:hAnsi="宋体" w:eastAsia="宋体" w:cs="宋体"/>
          <w:sz w:val="21"/>
          <w:szCs w:val="20"/>
          <w:lang w:val="en-US" w:bidi="ar-SA"/>
        </w:rPr>
      </w:pPr>
      <w:r>
        <w:rPr>
          <w:rFonts w:hint="eastAsia" w:ascii="宋体" w:hAnsi="宋体" w:eastAsia="宋体" w:cs="宋体"/>
          <w:sz w:val="21"/>
          <w:szCs w:val="20"/>
          <w:lang w:val="en-US" w:bidi="ar-SA"/>
        </w:rPr>
        <w:t>（2）提供有效的法定代表人/负责人/自然人资格证明书及授权委托书；</w:t>
      </w:r>
    </w:p>
    <w:p>
      <w:pPr>
        <w:widowControl/>
        <w:tabs>
          <w:tab w:val="left" w:pos="960"/>
        </w:tabs>
        <w:autoSpaceDE/>
        <w:autoSpaceDN/>
        <w:spacing w:before="0" w:after="0" w:line="240" w:lineRule="auto"/>
        <w:ind w:left="0" w:right="0" w:firstLine="435"/>
        <w:jc w:val="left"/>
        <w:rPr>
          <w:rFonts w:hint="eastAsia" w:ascii="宋体" w:hAnsi="宋体" w:eastAsia="宋体" w:cs="宋体"/>
          <w:sz w:val="21"/>
          <w:szCs w:val="20"/>
          <w:lang w:val="en-US" w:bidi="ar-SA"/>
        </w:rPr>
      </w:pPr>
      <w:r>
        <w:rPr>
          <w:rFonts w:hint="eastAsia" w:ascii="宋体" w:hAnsi="宋体" w:eastAsia="宋体" w:cs="宋体"/>
          <w:sz w:val="21"/>
          <w:szCs w:val="20"/>
          <w:lang w:val="en-US" w:bidi="ar-SA"/>
        </w:rPr>
        <w:t>（3）提供《中小企业声明函》或属于监狱企业的证明材料或《残疾人福利性单位声明函》；（如“申请人的资格要求”有要求时必须提供）</w:t>
      </w:r>
    </w:p>
    <w:p>
      <w:pPr>
        <w:widowControl/>
        <w:tabs>
          <w:tab w:val="left" w:pos="960"/>
        </w:tabs>
        <w:autoSpaceDE/>
        <w:autoSpaceDN/>
        <w:spacing w:before="0" w:after="0" w:line="240" w:lineRule="auto"/>
        <w:ind w:left="0" w:right="0" w:firstLine="435"/>
        <w:jc w:val="left"/>
        <w:rPr>
          <w:rFonts w:ascii="宋体" w:hAnsi="宋体" w:eastAsia="宋体" w:cs="宋体"/>
          <w:sz w:val="21"/>
          <w:szCs w:val="20"/>
          <w:lang w:val="en-US" w:bidi="ar-SA"/>
        </w:rPr>
      </w:pPr>
      <w:r>
        <w:rPr>
          <w:rFonts w:hint="eastAsia" w:ascii="宋体" w:hAnsi="宋体" w:eastAsia="宋体" w:cs="宋体"/>
          <w:sz w:val="21"/>
          <w:szCs w:val="20"/>
          <w:lang w:val="en-US" w:bidi="ar-SA"/>
        </w:rPr>
        <w:t>（4）投标人认为有必要提供的相关证明文件（如有）。</w:t>
      </w:r>
    </w:p>
    <w:p>
      <w:pPr>
        <w:widowControl/>
        <w:autoSpaceDE/>
        <w:autoSpaceDN/>
        <w:spacing w:before="0" w:after="0" w:line="240" w:lineRule="auto"/>
        <w:ind w:left="0" w:right="0"/>
        <w:jc w:val="left"/>
        <w:rPr>
          <w:rFonts w:ascii="Times New Roman" w:hAnsi="Times New Roman" w:eastAsia="宋体" w:cs="Times New Roman"/>
          <w:sz w:val="21"/>
          <w:szCs w:val="20"/>
          <w:lang w:val="en-US" w:bidi="ar-SA"/>
        </w:rPr>
      </w:pPr>
    </w:p>
    <w:p>
      <w:pPr>
        <w:widowControl/>
        <w:autoSpaceDE/>
        <w:autoSpaceDN/>
        <w:snapToGrid w:val="0"/>
        <w:spacing w:before="0" w:after="0" w:line="240" w:lineRule="auto"/>
        <w:ind w:left="0" w:right="0"/>
        <w:jc w:val="both"/>
        <w:rPr>
          <w:rFonts w:ascii="宋体" w:hAnsi="宋体" w:eastAsia="宋体" w:cs="宋体"/>
          <w:sz w:val="21"/>
          <w:szCs w:val="20"/>
          <w:lang w:val="en-US" w:bidi="ar-SA"/>
        </w:rPr>
      </w:pPr>
      <w:r>
        <w:rPr>
          <w:rFonts w:hint="eastAsia" w:ascii="宋体" w:hAnsi="宋体" w:eastAsia="宋体" w:cs="宋体"/>
          <w:sz w:val="21"/>
          <w:szCs w:val="20"/>
          <w:lang w:val="en-US" w:bidi="ar-SA"/>
        </w:rPr>
        <w:t xml:space="preserve">投标人授权代表签字或签章：          </w:t>
      </w:r>
    </w:p>
    <w:p>
      <w:pPr>
        <w:widowControl/>
        <w:autoSpaceDE/>
        <w:autoSpaceDN/>
        <w:snapToGrid w:val="0"/>
        <w:spacing w:before="0" w:after="0" w:line="240" w:lineRule="auto"/>
        <w:ind w:left="0" w:right="0"/>
        <w:jc w:val="both"/>
        <w:rPr>
          <w:rFonts w:ascii="宋体" w:hAnsi="宋体" w:eastAsia="宋体" w:cs="宋体"/>
          <w:sz w:val="21"/>
          <w:szCs w:val="20"/>
          <w:lang w:val="en-US" w:bidi="ar-SA"/>
        </w:rPr>
      </w:pPr>
      <w:r>
        <w:rPr>
          <w:rFonts w:hint="eastAsia" w:ascii="宋体" w:hAnsi="宋体" w:eastAsia="宋体" w:cs="宋体"/>
          <w:sz w:val="21"/>
          <w:szCs w:val="20"/>
          <w:lang w:val="en-US" w:bidi="ar-SA"/>
        </w:rPr>
        <w:t xml:space="preserve">投标人名称（加盖投标人公章）：                   </w:t>
      </w:r>
    </w:p>
    <w:p>
      <w:pPr>
        <w:widowControl/>
        <w:autoSpaceDE/>
        <w:autoSpaceDN/>
        <w:snapToGrid w:val="0"/>
        <w:spacing w:before="0" w:after="0" w:line="240" w:lineRule="auto"/>
        <w:ind w:left="0" w:right="0"/>
        <w:jc w:val="both"/>
        <w:rPr>
          <w:rFonts w:ascii="宋体" w:hAnsi="宋体" w:eastAsia="宋体" w:cs="宋体"/>
          <w:sz w:val="21"/>
          <w:szCs w:val="20"/>
          <w:lang w:val="en-US" w:bidi="ar-SA"/>
        </w:rPr>
      </w:pPr>
      <w:r>
        <w:rPr>
          <w:rFonts w:hint="eastAsia" w:ascii="宋体" w:hAnsi="宋体" w:eastAsia="宋体" w:cs="宋体"/>
          <w:sz w:val="21"/>
          <w:szCs w:val="20"/>
          <w:lang w:val="en-US" w:bidi="ar-SA"/>
        </w:rPr>
        <w:t xml:space="preserve">日期：         </w:t>
      </w:r>
    </w:p>
    <w:p>
      <w:pPr>
        <w:widowControl/>
        <w:autoSpaceDE/>
        <w:autoSpaceDN/>
        <w:spacing w:before="0" w:after="0" w:line="240" w:lineRule="auto"/>
        <w:ind w:left="0" w:right="0"/>
        <w:jc w:val="left"/>
        <w:rPr>
          <w:rFonts w:hint="eastAsia" w:ascii="宋体" w:hAnsi="宋体" w:eastAsia="宋体" w:cs="宋体"/>
          <w:b/>
          <w:sz w:val="24"/>
          <w:szCs w:val="24"/>
          <w:lang w:val="en-US" w:bidi="ar-SA"/>
        </w:rPr>
      </w:pPr>
      <w:r>
        <w:rPr>
          <w:rFonts w:ascii="Times New Roman" w:hAnsi="Times New Roman" w:eastAsia="宋体" w:cs="Times New Roman"/>
          <w:sz w:val="21"/>
          <w:szCs w:val="20"/>
          <w:lang w:val="zh-CN" w:bidi="ar-SA"/>
        </w:rPr>
        <w:br w:type="page"/>
      </w:r>
      <w:bookmarkStart w:id="39" w:name="_Toc3072"/>
      <w:r>
        <w:rPr>
          <w:rFonts w:hint="eastAsia" w:cs="宋体"/>
          <w:b/>
          <w:sz w:val="24"/>
          <w:szCs w:val="24"/>
          <w:lang w:val="en-US" w:eastAsia="zh-CN" w:bidi="ar-SA"/>
        </w:rPr>
        <w:t>四、</w:t>
      </w:r>
      <w:r>
        <w:rPr>
          <w:rFonts w:hint="eastAsia" w:ascii="宋体" w:hAnsi="宋体" w:eastAsia="宋体" w:cs="宋体"/>
          <w:b/>
          <w:sz w:val="24"/>
          <w:szCs w:val="24"/>
          <w:lang w:val="en-US" w:bidi="ar-SA"/>
        </w:rPr>
        <w:t>投标承诺书</w:t>
      </w:r>
      <w:bookmarkEnd w:id="39"/>
    </w:p>
    <w:p>
      <w:pPr>
        <w:pStyle w:val="15"/>
        <w:widowControl/>
        <w:autoSpaceDE/>
        <w:autoSpaceDN/>
        <w:spacing w:before="0" w:after="0"/>
        <w:ind w:left="0" w:right="0"/>
        <w:rPr>
          <w:rFonts w:hint="eastAsia" w:hAnsi="宋体" w:eastAsia="宋体" w:cs="宋体"/>
        </w:rPr>
      </w:pPr>
      <w:r>
        <w:rPr>
          <w:rFonts w:hint="eastAsia" w:hAnsi="宋体" w:eastAsia="宋体" w:cs="宋体"/>
        </w:rPr>
        <w:t>投标承诺书</w:t>
      </w:r>
    </w:p>
    <w:p>
      <w:pPr>
        <w:widowControl/>
        <w:tabs>
          <w:tab w:val="left" w:pos="3960"/>
        </w:tabs>
        <w:autoSpaceDE/>
        <w:autoSpaceDN/>
        <w:spacing w:before="0" w:after="0" w:line="480" w:lineRule="exact"/>
        <w:ind w:left="0" w:right="0"/>
        <w:jc w:val="center"/>
        <w:rPr>
          <w:rFonts w:hint="eastAsia" w:ascii="宋体" w:hAnsi="宋体" w:eastAsia="宋体" w:cs="宋体"/>
          <w:sz w:val="24"/>
          <w:szCs w:val="24"/>
          <w:lang w:val="en-US" w:bidi="ar-SA"/>
        </w:rPr>
      </w:pPr>
    </w:p>
    <w:p>
      <w:pPr>
        <w:widowControl/>
        <w:autoSpaceDE/>
        <w:autoSpaceDN/>
        <w:spacing w:before="0" w:after="120" w:afterLines="50" w:line="360" w:lineRule="auto"/>
        <w:ind w:left="0" w:right="0"/>
        <w:jc w:val="left"/>
        <w:rPr>
          <w:rFonts w:hint="eastAsia" w:ascii="宋体" w:hAnsi="宋体" w:eastAsia="宋体" w:cs="宋体"/>
          <w:b/>
          <w:sz w:val="21"/>
          <w:szCs w:val="21"/>
          <w:u w:val="single"/>
          <w:lang w:val="en-US" w:bidi="ar-SA"/>
        </w:rPr>
      </w:pPr>
      <w:r>
        <w:rPr>
          <w:rFonts w:hint="eastAsia" w:ascii="宋体" w:hAnsi="宋体" w:eastAsia="宋体" w:cs="宋体"/>
          <w:b/>
          <w:sz w:val="21"/>
          <w:szCs w:val="21"/>
          <w:u w:val="single"/>
          <w:lang w:val="en-US" w:bidi="ar-SA"/>
        </w:rPr>
        <w:t>珠海市香洲区第二人民医院：</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宋体" w:hAnsi="宋体" w:eastAsia="宋体" w:cs="宋体"/>
          <w:sz w:val="21"/>
          <w:szCs w:val="21"/>
          <w:lang w:val="en-US" w:bidi="ar-SA"/>
        </w:rPr>
        <w:t>本投标人已详细阅读了</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lang w:val="en-US" w:bidi="ar-SA"/>
        </w:rPr>
        <w:t>项目</w:t>
      </w:r>
      <w:r>
        <w:rPr>
          <w:rFonts w:hint="eastAsia" w:ascii="宋体" w:hAnsi="宋体" w:eastAsia="宋体" w:cs="Times New Roman"/>
          <w:sz w:val="21"/>
          <w:szCs w:val="21"/>
          <w:u w:val="single"/>
          <w:lang w:val="en-US" w:bidi="ar-SA"/>
        </w:rPr>
        <w:t>（项目编号：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宋体"/>
          <w:sz w:val="21"/>
          <w:szCs w:val="21"/>
          <w:lang w:val="en-US" w:bidi="ar-SA"/>
        </w:rPr>
        <w:t>招标文件，自愿参加上述项目投标，现就有关事项向采购人郑重承诺如下：</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宋体" w:hAnsi="宋体" w:eastAsia="宋体" w:cs="宋体"/>
          <w:sz w:val="21"/>
          <w:szCs w:val="21"/>
          <w:lang w:val="en-US" w:bidi="ar-SA"/>
        </w:rPr>
        <w:t>1.本投标人自愿在</w:t>
      </w:r>
      <w:r>
        <w:rPr>
          <w:rFonts w:hint="eastAsia" w:ascii="Times New Roman" w:hAnsi="宋体" w:eastAsia="宋体" w:cs="宋体"/>
          <w:sz w:val="21"/>
          <w:szCs w:val="21"/>
          <w:lang w:val="en-US" w:bidi="ar-SA"/>
        </w:rPr>
        <w:t>招标文件</w:t>
      </w:r>
      <w:r>
        <w:rPr>
          <w:rFonts w:hint="eastAsia" w:ascii="宋体" w:hAnsi="宋体" w:eastAsia="宋体" w:cs="宋体"/>
          <w:sz w:val="21"/>
          <w:szCs w:val="21"/>
          <w:lang w:val="en-US" w:bidi="ar-SA"/>
        </w:rPr>
        <w:t>规定的时限内按照</w:t>
      </w:r>
      <w:r>
        <w:rPr>
          <w:rFonts w:hint="eastAsia" w:ascii="Times New Roman" w:hAnsi="宋体" w:eastAsia="宋体" w:cs="宋体"/>
          <w:sz w:val="21"/>
          <w:szCs w:val="21"/>
          <w:lang w:val="en-US" w:bidi="ar-SA"/>
        </w:rPr>
        <w:t>招标文件</w:t>
      </w:r>
      <w:r>
        <w:rPr>
          <w:rFonts w:hint="eastAsia" w:ascii="宋体" w:hAnsi="宋体" w:eastAsia="宋体" w:cs="宋体"/>
          <w:sz w:val="21"/>
          <w:szCs w:val="21"/>
          <w:lang w:val="en-US" w:bidi="ar-SA"/>
        </w:rPr>
        <w:t>及采购合同、</w:t>
      </w:r>
      <w:r>
        <w:rPr>
          <w:rFonts w:hint="eastAsia" w:ascii="Times New Roman" w:hAnsi="宋体" w:eastAsia="宋体" w:cs="宋体"/>
          <w:sz w:val="21"/>
          <w:szCs w:val="21"/>
          <w:lang w:val="en-US" w:bidi="ar-SA"/>
        </w:rPr>
        <w:t>用户需求书</w:t>
      </w:r>
      <w:r>
        <w:rPr>
          <w:rFonts w:hint="eastAsia" w:ascii="宋体" w:hAnsi="宋体" w:eastAsia="宋体" w:cs="宋体"/>
          <w:sz w:val="21"/>
          <w:szCs w:val="21"/>
          <w:lang w:val="en-US" w:bidi="ar-SA"/>
        </w:rPr>
        <w:t>、技术规范等要求完成采购任务，按时完成并验收合格。服务质量按照投标文件的承诺并满足</w:t>
      </w:r>
      <w:r>
        <w:rPr>
          <w:rFonts w:hint="eastAsia" w:ascii="Times New Roman" w:hAnsi="宋体" w:eastAsia="宋体" w:cs="宋体"/>
          <w:sz w:val="21"/>
          <w:szCs w:val="21"/>
          <w:lang w:val="en-US" w:bidi="ar-SA"/>
        </w:rPr>
        <w:t>招标文件</w:t>
      </w:r>
      <w:r>
        <w:rPr>
          <w:rFonts w:hint="eastAsia" w:ascii="宋体" w:hAnsi="宋体" w:eastAsia="宋体" w:cs="宋体"/>
          <w:sz w:val="21"/>
          <w:szCs w:val="21"/>
          <w:lang w:val="en-US" w:bidi="ar-SA"/>
        </w:rPr>
        <w:t>要求。</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宋体" w:hAnsi="宋体" w:eastAsia="宋体" w:cs="宋体"/>
          <w:sz w:val="21"/>
          <w:szCs w:val="21"/>
          <w:lang w:val="en-US" w:bidi="ar-SA"/>
        </w:rPr>
        <w:t>2.保证投标文件内容无任何虚假。若评标过程中查出有虚假，同意作无效投标文件处理并被没收投标担保，若中标之后查出有虚假，同意废除中标资格并被没收投标担保。</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Times New Roman" w:hAnsi="宋体" w:eastAsia="宋体" w:cs="宋体"/>
          <w:sz w:val="21"/>
          <w:szCs w:val="21"/>
          <w:lang w:val="en-US" w:bidi="ar-SA"/>
        </w:rPr>
        <w:t>3</w:t>
      </w:r>
      <w:r>
        <w:rPr>
          <w:rFonts w:hint="eastAsia" w:ascii="宋体" w:hAnsi="宋体" w:eastAsia="宋体" w:cs="宋体"/>
          <w:sz w:val="21"/>
          <w:szCs w:val="21"/>
          <w:lang w:val="en-US" w:bidi="ar-SA"/>
        </w:rPr>
        <w:t>.保证投标文件不存在低于成本的恶意报价行为。</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Times New Roman" w:hAnsi="宋体" w:eastAsia="宋体" w:cs="宋体"/>
          <w:sz w:val="21"/>
          <w:szCs w:val="21"/>
          <w:lang w:val="en-US" w:bidi="ar-SA"/>
        </w:rPr>
        <w:t>4</w:t>
      </w:r>
      <w:r>
        <w:rPr>
          <w:rFonts w:hint="eastAsia" w:ascii="宋体" w:hAnsi="宋体" w:eastAsia="宋体" w:cs="宋体"/>
          <w:sz w:val="21"/>
          <w:szCs w:val="21"/>
          <w:lang w:val="en-US" w:bidi="ar-SA"/>
        </w:rPr>
        <w:t>.保证按照</w:t>
      </w:r>
      <w:r>
        <w:rPr>
          <w:rFonts w:hint="eastAsia" w:ascii="Times New Roman" w:hAnsi="宋体" w:eastAsia="宋体" w:cs="宋体"/>
          <w:sz w:val="21"/>
          <w:szCs w:val="21"/>
          <w:lang w:val="en-US" w:bidi="ar-SA"/>
        </w:rPr>
        <w:t>招标文件</w:t>
      </w:r>
      <w:r>
        <w:rPr>
          <w:rFonts w:hint="eastAsia" w:ascii="宋体" w:hAnsi="宋体" w:eastAsia="宋体" w:cs="宋体"/>
          <w:sz w:val="21"/>
          <w:szCs w:val="21"/>
          <w:lang w:val="en-US" w:bidi="ar-SA"/>
        </w:rPr>
        <w:t>及中标通知书规定提交履约保证金</w:t>
      </w:r>
      <w:r>
        <w:rPr>
          <w:rFonts w:hint="eastAsia" w:ascii="Times New Roman" w:hAnsi="宋体" w:eastAsia="宋体" w:cs="宋体"/>
          <w:sz w:val="21"/>
          <w:szCs w:val="21"/>
          <w:lang w:val="en-US" w:bidi="ar-SA"/>
        </w:rPr>
        <w:t>（如有）</w:t>
      </w:r>
      <w:r>
        <w:rPr>
          <w:rFonts w:hint="eastAsia" w:ascii="宋体" w:hAnsi="宋体" w:eastAsia="宋体" w:cs="宋体"/>
          <w:sz w:val="21"/>
          <w:szCs w:val="21"/>
          <w:lang w:val="en-US" w:bidi="ar-SA"/>
        </w:rPr>
        <w:t>并商签采购合同，对</w:t>
      </w:r>
      <w:r>
        <w:rPr>
          <w:rFonts w:hint="eastAsia" w:ascii="Times New Roman" w:hAnsi="宋体" w:eastAsia="宋体" w:cs="宋体"/>
          <w:sz w:val="21"/>
          <w:szCs w:val="21"/>
          <w:lang w:val="en-US" w:bidi="ar-SA"/>
        </w:rPr>
        <w:t>招标文件</w:t>
      </w:r>
      <w:r>
        <w:rPr>
          <w:rFonts w:hint="eastAsia" w:ascii="宋体" w:hAnsi="宋体" w:eastAsia="宋体" w:cs="宋体"/>
          <w:sz w:val="21"/>
          <w:szCs w:val="21"/>
          <w:lang w:val="en-US" w:bidi="ar-SA"/>
        </w:rPr>
        <w:t>第五部分“合同文本”中的条款项下的内容完全响应，不作任何的偏离。否则，同意接受采购人违约处罚并被没收投标担保。</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Times New Roman" w:hAnsi="宋体" w:eastAsia="宋体" w:cs="宋体"/>
          <w:sz w:val="21"/>
          <w:szCs w:val="21"/>
          <w:lang w:val="en-US" w:bidi="ar-SA"/>
        </w:rPr>
        <w:t>5</w:t>
      </w:r>
      <w:r>
        <w:rPr>
          <w:rFonts w:hint="eastAsia" w:ascii="宋体" w:hAnsi="宋体" w:eastAsia="宋体" w:cs="宋体"/>
          <w:sz w:val="21"/>
          <w:szCs w:val="21"/>
          <w:lang w:val="en-US" w:bidi="ar-SA"/>
        </w:rPr>
        <w:t>.保证按照采购合同约定完成采购合同范围内的全部内容。否则，同意接受采购人对投标人违约处理并被没收履约保证金</w:t>
      </w:r>
      <w:r>
        <w:rPr>
          <w:rFonts w:hint="eastAsia" w:ascii="Times New Roman" w:hAnsi="宋体" w:eastAsia="宋体" w:cs="宋体"/>
          <w:sz w:val="21"/>
          <w:szCs w:val="21"/>
          <w:lang w:val="en-US" w:bidi="ar-SA"/>
        </w:rPr>
        <w:t>（如有）</w:t>
      </w:r>
      <w:r>
        <w:rPr>
          <w:rFonts w:hint="eastAsia" w:ascii="宋体" w:hAnsi="宋体" w:eastAsia="宋体" w:cs="宋体"/>
          <w:sz w:val="21"/>
          <w:szCs w:val="21"/>
          <w:lang w:val="en-US" w:bidi="ar-SA"/>
        </w:rPr>
        <w:t>。</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Times New Roman" w:hAnsi="宋体" w:eastAsia="宋体" w:cs="宋体"/>
          <w:sz w:val="21"/>
          <w:szCs w:val="21"/>
          <w:lang w:val="en-US" w:bidi="ar-SA"/>
        </w:rPr>
        <w:t>6</w:t>
      </w:r>
      <w:r>
        <w:rPr>
          <w:rFonts w:hint="eastAsia" w:ascii="宋体" w:hAnsi="宋体" w:eastAsia="宋体" w:cs="宋体"/>
          <w:sz w:val="21"/>
          <w:szCs w:val="21"/>
          <w:lang w:val="en-US" w:bidi="ar-SA"/>
        </w:rPr>
        <w:t>.保证中标之后不转包，若分包将征得采购人同意并遵守相关法律法规。</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Times New Roman" w:hAnsi="宋体" w:eastAsia="宋体" w:cs="宋体"/>
          <w:sz w:val="21"/>
          <w:szCs w:val="21"/>
          <w:lang w:val="en-US" w:bidi="ar-SA"/>
        </w:rPr>
        <w:t>7</w:t>
      </w:r>
      <w:r>
        <w:rPr>
          <w:rFonts w:hint="eastAsia" w:ascii="宋体" w:hAnsi="宋体" w:eastAsia="宋体" w:cs="宋体"/>
          <w:sz w:val="21"/>
          <w:szCs w:val="21"/>
          <w:lang w:val="en-US" w:bidi="ar-SA"/>
        </w:rPr>
        <w:t>.保证中标之后按</w:t>
      </w:r>
      <w:r>
        <w:rPr>
          <w:rFonts w:hint="eastAsia" w:ascii="Times New Roman" w:hAnsi="宋体" w:eastAsia="宋体" w:cs="宋体"/>
          <w:sz w:val="21"/>
          <w:szCs w:val="21"/>
          <w:lang w:val="en-US" w:bidi="ar-SA"/>
        </w:rPr>
        <w:t>招标文件</w:t>
      </w:r>
      <w:r>
        <w:rPr>
          <w:rFonts w:hint="eastAsia" w:ascii="宋体" w:hAnsi="宋体" w:eastAsia="宋体" w:cs="宋体"/>
          <w:sz w:val="21"/>
          <w:szCs w:val="21"/>
          <w:lang w:val="en-US" w:bidi="ar-SA"/>
        </w:rPr>
        <w:t>要求向招标项目配置承诺的资源，否则，同意接受违约处罚并被没收履约担保。</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Times New Roman" w:hAnsi="宋体" w:eastAsia="宋体" w:cs="宋体"/>
          <w:sz w:val="21"/>
          <w:szCs w:val="21"/>
          <w:lang w:val="en-US" w:bidi="ar-SA"/>
        </w:rPr>
        <w:t>8</w:t>
      </w:r>
      <w:r>
        <w:rPr>
          <w:rFonts w:hint="eastAsia" w:ascii="宋体" w:hAnsi="宋体" w:eastAsia="宋体" w:cs="宋体"/>
          <w:sz w:val="21"/>
          <w:szCs w:val="21"/>
          <w:lang w:val="en-US" w:bidi="ar-SA"/>
        </w:rPr>
        <w:t>.保证中标之后密切配合采购人开展工作，接受采购人的监督管理。</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Times New Roman" w:hAnsi="宋体" w:eastAsia="宋体" w:cs="宋体"/>
          <w:sz w:val="21"/>
          <w:szCs w:val="21"/>
          <w:lang w:val="en-US" w:bidi="ar-SA"/>
        </w:rPr>
        <w:t>9</w:t>
      </w:r>
      <w:r>
        <w:rPr>
          <w:rFonts w:hint="eastAsia" w:ascii="宋体" w:hAnsi="宋体" w:eastAsia="宋体" w:cs="宋体"/>
          <w:sz w:val="21"/>
          <w:szCs w:val="21"/>
          <w:lang w:val="en-US" w:bidi="ar-SA"/>
        </w:rPr>
        <w:t>.保证按</w:t>
      </w:r>
      <w:r>
        <w:rPr>
          <w:rFonts w:hint="eastAsia" w:ascii="Times New Roman" w:hAnsi="宋体" w:eastAsia="宋体" w:cs="宋体"/>
          <w:sz w:val="21"/>
          <w:szCs w:val="21"/>
          <w:lang w:val="en-US" w:bidi="ar-SA"/>
        </w:rPr>
        <w:t>招标文件</w:t>
      </w:r>
      <w:r>
        <w:rPr>
          <w:rFonts w:hint="eastAsia" w:ascii="宋体" w:hAnsi="宋体" w:eastAsia="宋体" w:cs="宋体"/>
          <w:sz w:val="21"/>
          <w:szCs w:val="21"/>
          <w:lang w:val="en-US" w:bidi="ar-SA"/>
        </w:rPr>
        <w:t>及采购合同约定的原则处理采购调整事宜，不发生签署采购合同之后恶意索赔的行为。</w:t>
      </w:r>
    </w:p>
    <w:p>
      <w:pPr>
        <w:widowControl/>
        <w:autoSpaceDE/>
        <w:autoSpaceDN/>
        <w:spacing w:before="0" w:after="0" w:line="360" w:lineRule="auto"/>
        <w:ind w:left="0" w:right="0" w:firstLine="420" w:firstLineChars="200"/>
        <w:jc w:val="left"/>
        <w:rPr>
          <w:rFonts w:hint="eastAsia" w:ascii="宋体" w:hAnsi="宋体" w:eastAsia="宋体" w:cs="宋体"/>
          <w:sz w:val="21"/>
          <w:szCs w:val="21"/>
          <w:lang w:val="en-US" w:bidi="ar-SA"/>
        </w:rPr>
      </w:pPr>
      <w:r>
        <w:rPr>
          <w:rFonts w:hint="eastAsia" w:ascii="宋体" w:hAnsi="宋体" w:eastAsia="宋体" w:cs="宋体"/>
          <w:sz w:val="21"/>
          <w:szCs w:val="21"/>
          <w:lang w:val="en-US" w:bidi="ar-SA"/>
        </w:rPr>
        <w:t>本投标人在规定的投标有效期限内，将受</w:t>
      </w:r>
      <w:r>
        <w:rPr>
          <w:rFonts w:hint="eastAsia" w:ascii="Times New Roman" w:hAnsi="宋体" w:eastAsia="宋体" w:cs="宋体"/>
          <w:sz w:val="21"/>
          <w:szCs w:val="21"/>
          <w:lang w:val="en-US" w:bidi="ar-SA"/>
        </w:rPr>
        <w:t>招标文件</w:t>
      </w:r>
      <w:r>
        <w:rPr>
          <w:rFonts w:hint="eastAsia" w:ascii="宋体" w:hAnsi="宋体" w:eastAsia="宋体" w:cs="宋体"/>
          <w:sz w:val="21"/>
          <w:szCs w:val="21"/>
          <w:lang w:val="en-US" w:bidi="ar-SA"/>
        </w:rPr>
        <w:t>的约束并履行投标文件的承诺。</w:t>
      </w:r>
    </w:p>
    <w:p>
      <w:pPr>
        <w:widowControl/>
        <w:autoSpaceDE/>
        <w:autoSpaceDN/>
        <w:adjustRightInd w:val="0"/>
        <w:snapToGrid w:val="0"/>
        <w:spacing w:before="0" w:after="0" w:line="360" w:lineRule="auto"/>
        <w:ind w:left="0" w:right="0"/>
        <w:jc w:val="left"/>
        <w:rPr>
          <w:rFonts w:hint="eastAsia" w:ascii="宋体" w:hAnsi="宋体" w:eastAsia="宋体" w:cs="宋体"/>
          <w:sz w:val="21"/>
          <w:szCs w:val="21"/>
          <w:lang w:val="en-US" w:bidi="ar-SA"/>
        </w:rPr>
      </w:pPr>
    </w:p>
    <w:p>
      <w:pPr>
        <w:widowControl/>
        <w:autoSpaceDE/>
        <w:autoSpaceDN/>
        <w:adjustRightInd w:val="0"/>
        <w:snapToGrid w:val="0"/>
        <w:spacing w:before="0" w:after="0" w:line="360" w:lineRule="auto"/>
        <w:ind w:left="0" w:right="0"/>
        <w:jc w:val="left"/>
        <w:rPr>
          <w:rFonts w:hint="eastAsia" w:ascii="宋体" w:hAnsi="宋体" w:eastAsia="宋体" w:cs="宋体"/>
          <w:sz w:val="21"/>
          <w:szCs w:val="21"/>
          <w:lang w:val="en-US" w:bidi="ar-SA"/>
        </w:rPr>
      </w:pPr>
      <w:r>
        <w:rPr>
          <w:rFonts w:hint="eastAsia" w:ascii="宋体" w:hAnsi="宋体" w:eastAsia="宋体" w:cs="宋体"/>
          <w:sz w:val="21"/>
          <w:szCs w:val="21"/>
          <w:lang w:val="en-US" w:bidi="ar-SA"/>
        </w:rPr>
        <w:t>投标人代表签字或者签章：</w:t>
      </w:r>
    </w:p>
    <w:p>
      <w:pPr>
        <w:widowControl/>
        <w:autoSpaceDE/>
        <w:autoSpaceDN/>
        <w:adjustRightInd w:val="0"/>
        <w:snapToGrid w:val="0"/>
        <w:spacing w:before="0" w:after="0" w:line="360" w:lineRule="auto"/>
        <w:ind w:left="0" w:right="0"/>
        <w:jc w:val="left"/>
        <w:rPr>
          <w:rFonts w:hint="eastAsia" w:ascii="宋体" w:hAnsi="宋体" w:eastAsia="宋体" w:cs="宋体"/>
          <w:sz w:val="21"/>
          <w:szCs w:val="21"/>
          <w:lang w:val="en-US" w:bidi="ar-SA"/>
        </w:rPr>
      </w:pPr>
      <w:r>
        <w:rPr>
          <w:rFonts w:hint="eastAsia" w:ascii="宋体" w:hAnsi="宋体" w:eastAsia="宋体" w:cs="宋体"/>
          <w:sz w:val="21"/>
          <w:szCs w:val="21"/>
          <w:lang w:val="en-US" w:bidi="ar-SA"/>
        </w:rPr>
        <w:t>投标人名称（加盖公章）：</w:t>
      </w:r>
    </w:p>
    <w:p>
      <w:pPr>
        <w:widowControl/>
        <w:autoSpaceDE/>
        <w:autoSpaceDN/>
        <w:adjustRightInd w:val="0"/>
        <w:snapToGrid w:val="0"/>
        <w:spacing w:before="0" w:after="0" w:line="360" w:lineRule="auto"/>
        <w:ind w:left="0" w:right="0"/>
        <w:jc w:val="left"/>
        <w:rPr>
          <w:rFonts w:hint="eastAsia" w:ascii="宋体" w:hAnsi="宋体" w:eastAsia="宋体" w:cs="宋体"/>
          <w:sz w:val="21"/>
          <w:szCs w:val="21"/>
          <w:lang w:val="en-US" w:bidi="ar-SA"/>
        </w:rPr>
      </w:pPr>
      <w:r>
        <w:rPr>
          <w:rFonts w:hint="eastAsia" w:ascii="宋体" w:hAnsi="宋体" w:eastAsia="宋体" w:cs="宋体"/>
          <w:sz w:val="21"/>
          <w:szCs w:val="21"/>
          <w:lang w:val="en-US" w:bidi="ar-SA"/>
        </w:rPr>
        <w:t>日期：</w:t>
      </w:r>
      <w:r>
        <w:rPr>
          <w:rFonts w:hint="eastAsia" w:ascii="宋体" w:hAnsi="宋体" w:eastAsia="宋体" w:cs="宋体"/>
          <w:sz w:val="21"/>
          <w:szCs w:val="21"/>
          <w:lang w:val="en-US" w:eastAsia="zh-CN" w:bidi="ar-SA"/>
        </w:rPr>
        <w:t xml:space="preserve">    </w:t>
      </w:r>
      <w:r>
        <w:rPr>
          <w:rFonts w:hint="eastAsia" w:ascii="宋体" w:hAnsi="宋体" w:eastAsia="宋体" w:cs="宋体"/>
          <w:sz w:val="21"/>
          <w:szCs w:val="21"/>
          <w:lang w:val="en-US" w:bidi="ar-SA"/>
        </w:rPr>
        <w:t>年</w:t>
      </w:r>
      <w:r>
        <w:rPr>
          <w:rFonts w:hint="eastAsia" w:ascii="宋体" w:hAnsi="宋体" w:eastAsia="宋体" w:cs="宋体"/>
          <w:sz w:val="21"/>
          <w:szCs w:val="21"/>
          <w:lang w:val="en-US" w:eastAsia="zh-CN" w:bidi="ar-SA"/>
        </w:rPr>
        <w:t xml:space="preserve">  </w:t>
      </w:r>
      <w:r>
        <w:rPr>
          <w:rFonts w:hint="eastAsia" w:ascii="宋体" w:hAnsi="宋体" w:eastAsia="宋体" w:cs="宋体"/>
          <w:sz w:val="21"/>
          <w:szCs w:val="21"/>
          <w:lang w:val="en-US" w:bidi="ar-SA"/>
        </w:rPr>
        <w:t xml:space="preserve"> 月</w:t>
      </w:r>
      <w:r>
        <w:rPr>
          <w:rFonts w:hint="eastAsia" w:ascii="宋体" w:hAnsi="宋体" w:eastAsia="宋体" w:cs="宋体"/>
          <w:sz w:val="21"/>
          <w:szCs w:val="21"/>
          <w:lang w:val="en-US" w:eastAsia="zh-CN" w:bidi="ar-SA"/>
        </w:rPr>
        <w:t xml:space="preserve">  </w:t>
      </w:r>
      <w:r>
        <w:rPr>
          <w:rFonts w:hint="eastAsia" w:ascii="宋体" w:hAnsi="宋体" w:eastAsia="宋体" w:cs="宋体"/>
          <w:sz w:val="21"/>
          <w:szCs w:val="21"/>
          <w:lang w:val="en-US" w:bidi="ar-SA"/>
        </w:rPr>
        <w:t xml:space="preserve"> 日</w:t>
      </w:r>
    </w:p>
    <w:p>
      <w:pPr>
        <w:widowControl w:val="0"/>
        <w:ind w:left="0" w:leftChars="0" w:firstLine="0" w:firstLineChars="0"/>
        <w:jc w:val="both"/>
        <w:rPr>
          <w:rFonts w:hint="eastAsia" w:ascii="宋体" w:hAnsi="宋体" w:cs="宋体"/>
          <w:b/>
          <w:bCs/>
          <w:sz w:val="24"/>
          <w:szCs w:val="24"/>
        </w:rPr>
      </w:pPr>
      <w:r>
        <w:rPr>
          <w:rFonts w:hint="eastAsia" w:ascii="Times New Roman" w:hAnsi="Times New Roman" w:eastAsia="宋体" w:cs="Times New Roman"/>
          <w:sz w:val="16"/>
          <w:szCs w:val="16"/>
          <w:lang w:val="en-US" w:eastAsia="zh-CN" w:bidi="ar-SA"/>
        </w:rPr>
        <w:br w:type="page"/>
      </w:r>
    </w:p>
    <w:p>
      <w:pPr>
        <w:pStyle w:val="28"/>
        <w:snapToGrid w:val="0"/>
        <w:spacing w:after="240" w:afterLines="100" w:line="360" w:lineRule="auto"/>
        <w:jc w:val="both"/>
        <w:rPr>
          <w:rFonts w:hint="eastAsia" w:ascii="宋体" w:hAnsi="宋体" w:eastAsia="宋体" w:cs="宋体"/>
          <w:b/>
          <w:sz w:val="24"/>
          <w:szCs w:val="24"/>
          <w:lang w:val="en-US" w:eastAsia="zh-CN" w:bidi="ar-SA"/>
        </w:rPr>
      </w:pPr>
      <w:bookmarkStart w:id="40" w:name="_Toc3313"/>
      <w:r>
        <w:rPr>
          <w:rFonts w:hint="eastAsia" w:cs="宋体"/>
          <w:b/>
          <w:sz w:val="24"/>
          <w:szCs w:val="24"/>
          <w:lang w:val="en-US" w:eastAsia="zh-CN" w:bidi="ar-SA"/>
        </w:rPr>
        <w:t>五</w:t>
      </w:r>
      <w:r>
        <w:rPr>
          <w:rFonts w:hint="eastAsia" w:ascii="宋体" w:hAnsi="宋体" w:eastAsia="宋体" w:cs="宋体"/>
          <w:b/>
          <w:sz w:val="24"/>
          <w:szCs w:val="24"/>
          <w:lang w:val="en-US" w:eastAsia="zh-CN" w:bidi="ar-SA"/>
        </w:rPr>
        <w:t>、</w:t>
      </w:r>
      <w:r>
        <w:rPr>
          <w:rFonts w:hint="eastAsia" w:ascii="宋体" w:hAnsi="宋体" w:eastAsia="宋体" w:cs="宋体"/>
          <w:sz w:val="24"/>
          <w:szCs w:val="24"/>
        </w:rPr>
        <w:t>中小企业声明函</w:t>
      </w:r>
      <w:r>
        <w:rPr>
          <w:rFonts w:hint="eastAsia" w:ascii="宋体" w:hAnsi="宋体" w:eastAsia="宋体" w:cs="宋体"/>
          <w:b/>
          <w:sz w:val="24"/>
          <w:szCs w:val="24"/>
          <w:lang w:val="en-US" w:eastAsia="zh-CN" w:bidi="ar-SA"/>
        </w:rPr>
        <w:t>（以下格式文件由投标人根据需要选用）</w:t>
      </w:r>
      <w:bookmarkEnd w:id="40"/>
    </w:p>
    <w:p>
      <w:pPr>
        <w:spacing w:line="360" w:lineRule="auto"/>
        <w:jc w:val="center"/>
        <w:rPr>
          <w:rFonts w:ascii="宋体" w:hAnsi="宋体" w:eastAsia="宋体" w:cs="宋体"/>
          <w:sz w:val="24"/>
          <w:szCs w:val="24"/>
        </w:rPr>
      </w:pPr>
      <w:r>
        <w:rPr>
          <w:rFonts w:hint="eastAsia" w:ascii="宋体" w:hAnsi="宋体" w:eastAsia="宋体" w:cs="宋体"/>
          <w:b/>
          <w:sz w:val="24"/>
          <w:szCs w:val="24"/>
        </w:rPr>
        <w:t>中小企业声明函（货物）</w:t>
      </w:r>
    </w:p>
    <w:p>
      <w:pPr>
        <w:wordWrap w:val="0"/>
        <w:spacing w:line="360" w:lineRule="auto"/>
        <w:ind w:firstLine="482"/>
        <w:rPr>
          <w:rFonts w:ascii="宋体" w:hAnsi="宋体" w:eastAsia="宋体" w:cs="宋体"/>
          <w:sz w:val="22"/>
          <w:szCs w:val="22"/>
        </w:rPr>
      </w:pPr>
      <w:r>
        <w:rPr>
          <w:rFonts w:hint="eastAsia" w:ascii="宋体" w:hAnsi="宋体" w:eastAsia="宋体" w:cs="宋体"/>
          <w:sz w:val="22"/>
          <w:szCs w:val="22"/>
        </w:rPr>
        <w:t>本公司（联合体）郑重声明，根据《政府采购促进中小企业发展管理办法》（财库﹝2020﹞46号）的规定，本公司（联合体）参加</w:t>
      </w:r>
      <w:r>
        <w:rPr>
          <w:rFonts w:hint="eastAsia" w:ascii="宋体" w:hAnsi="宋体" w:eastAsia="宋体" w:cs="宋体"/>
          <w:sz w:val="22"/>
          <w:szCs w:val="22"/>
          <w:u w:val="single"/>
        </w:rPr>
        <w:t>（单位名称）</w:t>
      </w:r>
      <w:r>
        <w:rPr>
          <w:rFonts w:hint="eastAsia" w:ascii="宋体" w:hAnsi="宋体" w:eastAsia="宋体" w:cs="宋体"/>
          <w:sz w:val="22"/>
          <w:szCs w:val="22"/>
        </w:rPr>
        <w:t>的</w:t>
      </w:r>
      <w:r>
        <w:rPr>
          <w:rFonts w:hint="eastAsia" w:ascii="宋体" w:hAnsi="宋体" w:eastAsia="宋体" w:cs="宋体"/>
          <w:sz w:val="22"/>
          <w:szCs w:val="22"/>
          <w:u w:val="single"/>
        </w:rPr>
        <w:t>（项目名称）</w:t>
      </w:r>
      <w:r>
        <w:rPr>
          <w:rFonts w:hint="eastAsia" w:ascii="宋体" w:hAnsi="宋体" w:eastAsia="宋体" w:cs="宋体"/>
          <w:sz w:val="22"/>
          <w:szCs w:val="22"/>
        </w:rPr>
        <w:t>采购活动，提供的货物全部由符合政策要求的中小企业制造。相关企业（含联合体中的中小企业、签订分包意向协议的中小企业）的具体情况如下：</w:t>
      </w:r>
    </w:p>
    <w:p>
      <w:pPr>
        <w:wordWrap w:val="0"/>
        <w:spacing w:line="360" w:lineRule="auto"/>
        <w:ind w:firstLine="482"/>
        <w:rPr>
          <w:rFonts w:ascii="宋体" w:hAnsi="宋体" w:eastAsia="宋体" w:cs="宋体"/>
          <w:sz w:val="22"/>
          <w:szCs w:val="22"/>
        </w:rPr>
      </w:pPr>
      <w:r>
        <w:rPr>
          <w:rFonts w:hint="eastAsia" w:ascii="宋体" w:hAnsi="宋体" w:eastAsia="宋体" w:cs="宋体"/>
          <w:sz w:val="22"/>
          <w:szCs w:val="22"/>
        </w:rPr>
        <w:t>1.（标的名称），属于（磋商文件中明确的所属行业）行业；制造商为（企业名称），从业人员__________________人，营业收入为__________________万元，资产总额为__________________万元1，属于（中型企业、小型企业、微型企业）；</w:t>
      </w:r>
    </w:p>
    <w:p>
      <w:pPr>
        <w:wordWrap w:val="0"/>
        <w:spacing w:line="360" w:lineRule="auto"/>
        <w:ind w:firstLine="482"/>
        <w:rPr>
          <w:rFonts w:ascii="宋体" w:hAnsi="宋体" w:eastAsia="宋体" w:cs="宋体"/>
          <w:sz w:val="22"/>
          <w:szCs w:val="22"/>
        </w:rPr>
      </w:pPr>
      <w:r>
        <w:rPr>
          <w:rFonts w:hint="eastAsia" w:ascii="宋体" w:hAnsi="宋体" w:eastAsia="宋体" w:cs="宋体"/>
          <w:sz w:val="22"/>
          <w:szCs w:val="22"/>
        </w:rPr>
        <w:t>2.（标的名称），属于（磋商文件中明确的所属行业）行业；制造商为（企业名称），从业人员__________________人，营业收入为__________________万元，资产总额为__________________万元1，属于（中型企业、小型企业、微型企业）；</w:t>
      </w:r>
    </w:p>
    <w:p>
      <w:pPr>
        <w:wordWrap w:val="0"/>
        <w:spacing w:line="360" w:lineRule="auto"/>
        <w:ind w:firstLine="482"/>
        <w:rPr>
          <w:rFonts w:ascii="宋体" w:hAnsi="宋体" w:eastAsia="宋体" w:cs="宋体"/>
          <w:sz w:val="22"/>
          <w:szCs w:val="22"/>
        </w:rPr>
      </w:pPr>
      <w:r>
        <w:rPr>
          <w:rFonts w:hint="eastAsia" w:ascii="宋体" w:hAnsi="宋体" w:eastAsia="宋体" w:cs="宋体"/>
          <w:sz w:val="22"/>
          <w:szCs w:val="22"/>
        </w:rPr>
        <w:t>……</w:t>
      </w:r>
    </w:p>
    <w:p>
      <w:pPr>
        <w:wordWrap w:val="0"/>
        <w:spacing w:line="360" w:lineRule="auto"/>
        <w:ind w:firstLine="482"/>
        <w:rPr>
          <w:rFonts w:ascii="宋体" w:hAnsi="宋体" w:eastAsia="宋体" w:cs="宋体"/>
          <w:sz w:val="22"/>
          <w:szCs w:val="22"/>
        </w:rPr>
      </w:pPr>
      <w:r>
        <w:rPr>
          <w:rFonts w:hint="eastAsia" w:ascii="宋体" w:hAnsi="宋体" w:eastAsia="宋体" w:cs="宋体"/>
          <w:sz w:val="22"/>
          <w:szCs w:val="22"/>
        </w:rPr>
        <w:t>以上企业，不属于大企业的分支机构，不存在控股股东为大企业的情形，也不存在与大企业的负责人为同一人的情形。</w:t>
      </w:r>
    </w:p>
    <w:p>
      <w:pPr>
        <w:spacing w:line="360" w:lineRule="auto"/>
        <w:ind w:firstLine="480"/>
        <w:rPr>
          <w:rFonts w:ascii="宋体" w:hAnsi="宋体" w:eastAsia="宋体" w:cs="宋体"/>
          <w:sz w:val="22"/>
          <w:szCs w:val="22"/>
        </w:rPr>
      </w:pPr>
      <w:r>
        <w:rPr>
          <w:rFonts w:hint="eastAsia" w:ascii="宋体" w:hAnsi="宋体" w:eastAsia="宋体" w:cs="宋体"/>
          <w:sz w:val="22"/>
          <w:szCs w:val="22"/>
        </w:rPr>
        <w:t>本企业对上述声明内容的真实性负责。如有虚假，将依法承担相应责任。</w:t>
      </w:r>
    </w:p>
    <w:p>
      <w:pPr>
        <w:spacing w:line="360" w:lineRule="auto"/>
        <w:jc w:val="right"/>
        <w:rPr>
          <w:rFonts w:ascii="宋体" w:hAnsi="宋体" w:eastAsia="宋体" w:cs="宋体"/>
          <w:sz w:val="22"/>
          <w:szCs w:val="22"/>
        </w:rPr>
      </w:pPr>
      <w:r>
        <w:rPr>
          <w:rFonts w:hint="eastAsia" w:ascii="宋体" w:hAnsi="宋体" w:eastAsia="宋体" w:cs="宋体"/>
          <w:sz w:val="22"/>
          <w:szCs w:val="22"/>
        </w:rPr>
        <w:t xml:space="preserve"> 企业名称（盖章）：__________________</w:t>
      </w:r>
    </w:p>
    <w:p>
      <w:pPr>
        <w:spacing w:line="360" w:lineRule="auto"/>
        <w:jc w:val="right"/>
        <w:rPr>
          <w:rFonts w:ascii="宋体" w:hAnsi="宋体" w:eastAsia="宋体" w:cs="宋体"/>
          <w:sz w:val="22"/>
          <w:szCs w:val="22"/>
        </w:rPr>
      </w:pPr>
      <w:r>
        <w:rPr>
          <w:rFonts w:hint="eastAsia" w:ascii="宋体" w:hAnsi="宋体" w:eastAsia="宋体" w:cs="宋体"/>
          <w:sz w:val="22"/>
          <w:szCs w:val="22"/>
        </w:rPr>
        <w:t xml:space="preserve"> 日  期：__________________</w:t>
      </w:r>
    </w:p>
    <w:p>
      <w:pPr>
        <w:spacing w:line="360" w:lineRule="auto"/>
        <w:ind w:firstLine="480"/>
        <w:rPr>
          <w:rFonts w:ascii="宋体" w:hAnsi="宋体" w:eastAsia="宋体" w:cs="宋体"/>
          <w:sz w:val="22"/>
          <w:szCs w:val="22"/>
        </w:rPr>
      </w:pPr>
      <w:r>
        <w:rPr>
          <w:rFonts w:hint="eastAsia" w:ascii="宋体" w:hAnsi="宋体" w:eastAsia="宋体" w:cs="宋体"/>
          <w:sz w:val="22"/>
          <w:szCs w:val="22"/>
        </w:rPr>
        <w:t>1：从业人员、营业收入、资产总额填报上一年度数据，无上一年度数据的新成立企业可不填报。</w:t>
      </w:r>
    </w:p>
    <w:p>
      <w:pPr>
        <w:spacing w:line="360" w:lineRule="auto"/>
        <w:ind w:firstLine="480"/>
        <w:rPr>
          <w:rFonts w:ascii="宋体" w:hAnsi="宋体" w:eastAsia="宋体" w:cs="宋体"/>
          <w:sz w:val="22"/>
          <w:szCs w:val="22"/>
        </w:rPr>
      </w:pPr>
      <w:r>
        <w:rPr>
          <w:rFonts w:hint="eastAsia" w:ascii="宋体" w:hAnsi="宋体" w:eastAsia="宋体" w:cs="宋体"/>
          <w:sz w:val="22"/>
          <w:szCs w:val="22"/>
        </w:rPr>
        <w:t>2：供应商应当对其出具的《中小企业声明函》真实性负责，供应商出具的《中小企业声明函》内容不实的，属于提供虚假材料谋取成交。在实际操作中，供应商希望获得中小企业扶持政策支持的，应从制造商处获得充分、准确的信息。对相关制造商信息了解不充分，或者不能确定相关信息真实、准确的，不建议出具《中小企业声明函》。</w:t>
      </w:r>
    </w:p>
    <w:p>
      <w:pPr>
        <w:spacing w:line="360" w:lineRule="auto"/>
        <w:ind w:firstLine="480"/>
        <w:rPr>
          <w:rFonts w:hint="eastAsia" w:ascii="宋体" w:hAnsi="宋体" w:eastAsia="宋体" w:cs="宋体"/>
          <w:sz w:val="22"/>
          <w:szCs w:val="22"/>
        </w:rPr>
      </w:pPr>
      <w:r>
        <w:rPr>
          <w:rFonts w:hint="eastAsia" w:ascii="宋体" w:hAnsi="宋体" w:eastAsia="宋体" w:cs="宋体"/>
          <w:sz w:val="22"/>
          <w:szCs w:val="22"/>
        </w:rPr>
        <w:t>中小企业声明函（承建本项目工程为中小企业或者承接本项目服务为中小企业时提交本函，所属行业应符合磋商文件中明确的本项目所属行业）</w:t>
      </w:r>
    </w:p>
    <w:p>
      <w:pPr>
        <w:rPr>
          <w:rFonts w:hint="eastAsia" w:ascii="宋体" w:hAnsi="宋体" w:eastAsia="宋体" w:cs="宋体"/>
          <w:sz w:val="22"/>
          <w:szCs w:val="22"/>
        </w:rPr>
      </w:pPr>
      <w:r>
        <w:rPr>
          <w:rFonts w:hint="eastAsia" w:ascii="宋体" w:hAnsi="宋体" w:eastAsia="宋体" w:cs="宋体"/>
          <w:sz w:val="22"/>
          <w:szCs w:val="22"/>
        </w:rPr>
        <w:br w:type="page"/>
      </w:r>
    </w:p>
    <w:p>
      <w:pPr>
        <w:spacing w:line="360" w:lineRule="auto"/>
        <w:jc w:val="center"/>
        <w:rPr>
          <w:rFonts w:hint="eastAsia" w:ascii="宋体" w:hAnsi="宋体" w:eastAsia="宋体" w:cs="宋体"/>
          <w:b/>
          <w:sz w:val="24"/>
          <w:szCs w:val="24"/>
        </w:rPr>
      </w:pPr>
    </w:p>
    <w:p>
      <w:pPr>
        <w:spacing w:line="360" w:lineRule="auto"/>
        <w:jc w:val="center"/>
        <w:rPr>
          <w:rFonts w:ascii="宋体" w:hAnsi="宋体" w:eastAsia="宋体" w:cs="宋体"/>
          <w:sz w:val="24"/>
          <w:szCs w:val="24"/>
        </w:rPr>
      </w:pPr>
      <w:r>
        <w:rPr>
          <w:rFonts w:hint="eastAsia" w:ascii="宋体" w:hAnsi="宋体" w:eastAsia="宋体" w:cs="宋体"/>
          <w:b/>
          <w:sz w:val="24"/>
          <w:szCs w:val="24"/>
        </w:rPr>
        <w:t>中小企业声明函（工程、服务）</w:t>
      </w:r>
    </w:p>
    <w:p>
      <w:pPr>
        <w:wordWrap w:val="0"/>
        <w:spacing w:line="360" w:lineRule="auto"/>
        <w:ind w:firstLine="482"/>
        <w:rPr>
          <w:rFonts w:ascii="宋体" w:hAnsi="宋体" w:eastAsia="宋体" w:cs="宋体"/>
          <w:sz w:val="22"/>
          <w:szCs w:val="22"/>
        </w:rPr>
      </w:pPr>
      <w:r>
        <w:rPr>
          <w:rFonts w:hint="eastAsia" w:ascii="宋体" w:hAnsi="宋体" w:eastAsia="宋体" w:cs="宋体"/>
          <w:sz w:val="22"/>
          <w:szCs w:val="22"/>
        </w:rPr>
        <w:t>本公司（联合体）郑重声明，根据《政府采购促进中小企业发展管理办法》（财库﹝2020﹞46号）的规定，本公司（联合体）参加</w:t>
      </w:r>
      <w:r>
        <w:rPr>
          <w:rFonts w:hint="eastAsia" w:ascii="宋体" w:hAnsi="宋体" w:eastAsia="宋体" w:cs="宋体"/>
          <w:sz w:val="22"/>
          <w:szCs w:val="22"/>
          <w:u w:val="single"/>
        </w:rPr>
        <w:t>（单位名称）</w:t>
      </w:r>
      <w:r>
        <w:rPr>
          <w:rFonts w:hint="eastAsia" w:ascii="宋体" w:hAnsi="宋体" w:eastAsia="宋体" w:cs="宋体"/>
          <w:sz w:val="22"/>
          <w:szCs w:val="22"/>
        </w:rPr>
        <w:t>的</w:t>
      </w:r>
      <w:r>
        <w:rPr>
          <w:rFonts w:hint="eastAsia" w:ascii="宋体" w:hAnsi="宋体" w:eastAsia="宋体" w:cs="宋体"/>
          <w:sz w:val="22"/>
          <w:szCs w:val="22"/>
          <w:u w:val="single"/>
        </w:rPr>
        <w:t>（项目名称）</w:t>
      </w:r>
      <w:r>
        <w:rPr>
          <w:rFonts w:hint="eastAsia" w:ascii="宋体" w:hAnsi="宋体" w:eastAsia="宋体" w:cs="宋体"/>
          <w:sz w:val="22"/>
          <w:szCs w:val="22"/>
        </w:rPr>
        <w:t>采购活动，工程的施工单位全部为符合政策要求的中小企业（或者：服务全部由符合政策要求的中小企业承接）。相关企业（含联合体中的中小企业、签订分包意向协议的中小企业）的具体情况如下：</w:t>
      </w:r>
    </w:p>
    <w:p>
      <w:pPr>
        <w:wordWrap w:val="0"/>
        <w:spacing w:line="360" w:lineRule="auto"/>
        <w:ind w:firstLine="482"/>
        <w:rPr>
          <w:rFonts w:ascii="宋体" w:hAnsi="宋体" w:eastAsia="宋体" w:cs="宋体"/>
          <w:sz w:val="22"/>
          <w:szCs w:val="22"/>
        </w:rPr>
      </w:pPr>
      <w:r>
        <w:rPr>
          <w:rFonts w:hint="eastAsia" w:ascii="宋体" w:hAnsi="宋体" w:eastAsia="宋体" w:cs="宋体"/>
          <w:sz w:val="22"/>
          <w:szCs w:val="22"/>
        </w:rPr>
        <w:t>1.（标的名称），属于（磋商文件中明确的所属行业）行业；承建（承接）企业为（企业名称），从业人员__________________人，营业收入为__________________万元，资产总额为__________________万元1，属于（中型企业、小型企业、微型企业）；</w:t>
      </w:r>
    </w:p>
    <w:p>
      <w:pPr>
        <w:wordWrap w:val="0"/>
        <w:spacing w:line="360" w:lineRule="auto"/>
        <w:ind w:firstLine="482"/>
        <w:rPr>
          <w:rFonts w:ascii="宋体" w:hAnsi="宋体" w:eastAsia="宋体" w:cs="宋体"/>
          <w:sz w:val="22"/>
          <w:szCs w:val="22"/>
        </w:rPr>
      </w:pPr>
      <w:r>
        <w:rPr>
          <w:rFonts w:hint="eastAsia" w:ascii="宋体" w:hAnsi="宋体" w:eastAsia="宋体" w:cs="宋体"/>
          <w:sz w:val="22"/>
          <w:szCs w:val="22"/>
        </w:rPr>
        <w:t>2.（标的名称），属于（磋商文件中明确的所属行业）行业；承建（承接）企业为（企业名称），从业人员__________________人，营业收入为__________________万元，资产总额为__________________万元1，属于（中型企业、小型企业、微型企业）；</w:t>
      </w:r>
    </w:p>
    <w:p>
      <w:pPr>
        <w:spacing w:line="360" w:lineRule="auto"/>
        <w:ind w:firstLine="480"/>
        <w:rPr>
          <w:rFonts w:ascii="宋体" w:hAnsi="宋体" w:eastAsia="宋体" w:cs="宋体"/>
          <w:sz w:val="22"/>
          <w:szCs w:val="22"/>
        </w:rPr>
      </w:pPr>
      <w:r>
        <w:rPr>
          <w:rFonts w:hint="eastAsia" w:ascii="宋体" w:hAnsi="宋体" w:eastAsia="宋体" w:cs="宋体"/>
          <w:sz w:val="22"/>
          <w:szCs w:val="22"/>
        </w:rPr>
        <w:t>……</w:t>
      </w:r>
    </w:p>
    <w:p>
      <w:pPr>
        <w:spacing w:line="360" w:lineRule="auto"/>
        <w:ind w:firstLine="480"/>
        <w:rPr>
          <w:rFonts w:ascii="宋体" w:hAnsi="宋体" w:eastAsia="宋体" w:cs="宋体"/>
          <w:sz w:val="22"/>
          <w:szCs w:val="22"/>
        </w:rPr>
      </w:pPr>
      <w:r>
        <w:rPr>
          <w:rFonts w:hint="eastAsia" w:ascii="宋体" w:hAnsi="宋体" w:eastAsia="宋体" w:cs="宋体"/>
          <w:sz w:val="22"/>
          <w:szCs w:val="22"/>
        </w:rPr>
        <w:t>以上企业，不属于大企业的分支机构，不存在控股股东为大企业的情形，也不存在与大企业的负责人为同一人的情形。</w:t>
      </w:r>
    </w:p>
    <w:p>
      <w:pPr>
        <w:spacing w:line="360" w:lineRule="auto"/>
        <w:ind w:firstLine="480"/>
        <w:rPr>
          <w:rFonts w:ascii="宋体" w:hAnsi="宋体" w:eastAsia="宋体" w:cs="宋体"/>
          <w:sz w:val="22"/>
          <w:szCs w:val="22"/>
        </w:rPr>
      </w:pPr>
      <w:r>
        <w:rPr>
          <w:rFonts w:hint="eastAsia" w:ascii="宋体" w:hAnsi="宋体" w:eastAsia="宋体" w:cs="宋体"/>
          <w:sz w:val="22"/>
          <w:szCs w:val="22"/>
        </w:rPr>
        <w:t>本企业对上述声明内容的真实性负责。如有虚假，将依法承担相应责任。</w:t>
      </w:r>
    </w:p>
    <w:p>
      <w:pPr>
        <w:spacing w:line="360" w:lineRule="auto"/>
        <w:jc w:val="right"/>
        <w:rPr>
          <w:rFonts w:ascii="宋体" w:hAnsi="宋体" w:eastAsia="宋体" w:cs="宋体"/>
          <w:sz w:val="22"/>
          <w:szCs w:val="22"/>
        </w:rPr>
      </w:pPr>
      <w:r>
        <w:rPr>
          <w:rFonts w:hint="eastAsia" w:ascii="宋体" w:hAnsi="宋体" w:eastAsia="宋体" w:cs="宋体"/>
          <w:sz w:val="22"/>
          <w:szCs w:val="22"/>
        </w:rPr>
        <w:t xml:space="preserve"> 企业名称（盖章）：__________________</w:t>
      </w:r>
    </w:p>
    <w:p>
      <w:pPr>
        <w:spacing w:line="360" w:lineRule="auto"/>
        <w:jc w:val="right"/>
        <w:rPr>
          <w:rFonts w:ascii="宋体" w:hAnsi="宋体" w:eastAsia="宋体" w:cs="宋体"/>
          <w:sz w:val="22"/>
          <w:szCs w:val="22"/>
        </w:rPr>
      </w:pPr>
      <w:r>
        <w:rPr>
          <w:rFonts w:hint="eastAsia" w:ascii="宋体" w:hAnsi="宋体" w:eastAsia="宋体" w:cs="宋体"/>
          <w:sz w:val="22"/>
          <w:szCs w:val="22"/>
        </w:rPr>
        <w:t xml:space="preserve"> 日  期：__________________</w:t>
      </w:r>
    </w:p>
    <w:p>
      <w:pPr>
        <w:spacing w:line="360" w:lineRule="auto"/>
        <w:ind w:firstLine="480"/>
        <w:rPr>
          <w:rFonts w:ascii="宋体" w:hAnsi="宋体" w:eastAsia="宋体" w:cs="宋体"/>
          <w:sz w:val="22"/>
          <w:szCs w:val="22"/>
        </w:rPr>
      </w:pPr>
      <w:r>
        <w:rPr>
          <w:rFonts w:hint="eastAsia" w:ascii="宋体" w:hAnsi="宋体" w:eastAsia="宋体" w:cs="宋体"/>
          <w:sz w:val="22"/>
          <w:szCs w:val="22"/>
        </w:rPr>
        <w:t>1：从业人员、营业收入、资产总额填报上一年度数据，无上一年度数据的新成立企业可不填报。</w:t>
      </w:r>
    </w:p>
    <w:p>
      <w:pPr>
        <w:spacing w:line="360" w:lineRule="auto"/>
        <w:ind w:firstLine="480"/>
        <w:rPr>
          <w:rFonts w:hint="eastAsia" w:ascii="宋体" w:hAnsi="宋体" w:eastAsia="宋体" w:cs="宋体"/>
          <w:sz w:val="22"/>
          <w:szCs w:val="22"/>
        </w:rPr>
      </w:pPr>
      <w:r>
        <w:rPr>
          <w:rFonts w:hint="eastAsia" w:ascii="宋体" w:hAnsi="宋体" w:eastAsia="宋体" w:cs="宋体"/>
          <w:sz w:val="22"/>
          <w:szCs w:val="22"/>
        </w:rPr>
        <w:t>2：供应商应当自行核实是否属于小微企业，并认真填写声明函，若有虚假将追究其责任。</w:t>
      </w:r>
    </w:p>
    <w:p>
      <w:pPr>
        <w:rPr>
          <w:rFonts w:hint="eastAsia" w:ascii="宋体" w:hAnsi="宋体" w:eastAsia="宋体" w:cs="宋体"/>
          <w:sz w:val="24"/>
          <w:szCs w:val="24"/>
        </w:rPr>
      </w:pPr>
      <w:r>
        <w:rPr>
          <w:rFonts w:hint="eastAsia" w:ascii="宋体" w:hAnsi="宋体" w:eastAsia="宋体" w:cs="宋体"/>
          <w:sz w:val="24"/>
          <w:szCs w:val="24"/>
        </w:rPr>
        <w:br w:type="page"/>
      </w:r>
    </w:p>
    <w:p>
      <w:pPr>
        <w:pStyle w:val="2"/>
        <w:rPr>
          <w:rFonts w:hint="eastAsia" w:ascii="宋体" w:hAnsi="Times New Roman" w:cs="宋体"/>
          <w:b/>
          <w:bCs/>
          <w:color w:val="000000"/>
          <w:szCs w:val="24"/>
          <w:highlight w:val="none"/>
        </w:rPr>
      </w:pPr>
      <w:r>
        <w:rPr>
          <w:rFonts w:hint="eastAsia" w:cs="宋体"/>
          <w:b/>
          <w:bCs/>
          <w:color w:val="000000"/>
          <w:szCs w:val="24"/>
          <w:lang w:val="en-US" w:eastAsia="zh-CN"/>
        </w:rPr>
        <w:t>六、投标人认为有必要提供的其他资料。</w:t>
      </w:r>
    </w:p>
    <w:p>
      <w:pPr>
        <w:rPr>
          <w:rFonts w:hint="eastAsia"/>
        </w:rPr>
      </w:pPr>
    </w:p>
    <w:p>
      <w:pPr>
        <w:rPr>
          <w:rFonts w:hint="eastAsia"/>
        </w:rPr>
      </w:pPr>
    </w:p>
    <w:p>
      <w:pPr>
        <w:rPr>
          <w:rFonts w:hint="eastAsia"/>
        </w:rPr>
      </w:pPr>
    </w:p>
    <w:p>
      <w:pPr>
        <w:rPr>
          <w:rFonts w:hint="eastAsia"/>
        </w:rPr>
      </w:pPr>
    </w:p>
    <w:p>
      <w:pPr>
        <w:adjustRightInd w:val="0"/>
        <w:snapToGrid w:val="0"/>
        <w:spacing w:line="360" w:lineRule="auto"/>
        <w:rPr>
          <w:rFonts w:hint="eastAsia" w:ascii="宋体" w:hAnsi="宋体" w:cs="宋体"/>
          <w:szCs w:val="21"/>
        </w:rPr>
      </w:pPr>
      <w:r>
        <w:rPr>
          <w:rFonts w:hint="eastAsia" w:ascii="宋体" w:hAnsi="宋体" w:cs="宋体"/>
          <w:szCs w:val="21"/>
        </w:rPr>
        <w:t>投标人代表签字或者签章：</w:t>
      </w:r>
    </w:p>
    <w:p>
      <w:pPr>
        <w:adjustRightInd w:val="0"/>
        <w:snapToGrid w:val="0"/>
        <w:spacing w:line="360" w:lineRule="auto"/>
        <w:rPr>
          <w:rFonts w:hint="eastAsia" w:ascii="宋体" w:hAnsi="宋体" w:cs="宋体"/>
          <w:szCs w:val="21"/>
        </w:rPr>
      </w:pPr>
      <w:r>
        <w:rPr>
          <w:rFonts w:hint="eastAsia" w:ascii="宋体" w:hAnsi="宋体" w:cs="宋体"/>
          <w:szCs w:val="21"/>
        </w:rPr>
        <w:t>投标人名称（加盖公章）：</w:t>
      </w:r>
    </w:p>
    <w:p>
      <w:pPr>
        <w:adjustRightInd w:val="0"/>
        <w:snapToGrid w:val="0"/>
        <w:spacing w:line="360" w:lineRule="auto"/>
        <w:rPr>
          <w:rFonts w:hint="eastAsia" w:ascii="宋体" w:hAnsi="宋体" w:cs="宋体"/>
          <w:szCs w:val="21"/>
        </w:rPr>
      </w:pPr>
      <w:r>
        <w:rPr>
          <w:rFonts w:hint="eastAsia" w:ascii="宋体" w:hAnsi="宋体" w:cs="宋体"/>
          <w:szCs w:val="21"/>
        </w:rPr>
        <w:t>日期：年 月 日</w:t>
      </w:r>
    </w:p>
    <w:p>
      <w:pPr>
        <w:tabs>
          <w:tab w:val="left" w:pos="851"/>
        </w:tabs>
        <w:rPr>
          <w:rFonts w:hint="eastAsia" w:ascii="宋体" w:hAnsi="宋体" w:cs="宋体"/>
          <w:sz w:val="24"/>
          <w:szCs w:val="24"/>
        </w:rPr>
        <w:sectPr>
          <w:headerReference r:id="rId6" w:type="default"/>
          <w:footerReference r:id="rId7" w:type="default"/>
          <w:pgSz w:w="11906" w:h="16838"/>
          <w:pgMar w:top="1434" w:right="1474" w:bottom="1434" w:left="1474" w:header="851" w:footer="992" w:gutter="0"/>
          <w:pgNumType w:fmt="decimal"/>
          <w:cols w:space="425" w:num="1"/>
          <w:docGrid w:type="lines" w:linePitch="312" w:charSpace="0"/>
        </w:sectPr>
      </w:pPr>
    </w:p>
    <w:p>
      <w:pPr>
        <w:widowControl w:val="0"/>
        <w:spacing w:line="360" w:lineRule="auto"/>
        <w:ind w:firstLine="0" w:firstLineChars="0"/>
        <w:jc w:val="center"/>
        <w:rPr>
          <w:rFonts w:hint="eastAsia" w:ascii="宋体" w:hAnsi="宋体" w:eastAsia="宋体" w:cs="宋体"/>
          <w:b/>
          <w:color w:val="auto"/>
          <w:sz w:val="36"/>
          <w:szCs w:val="44"/>
          <w:highlight w:val="none"/>
          <w:lang w:val="en-US" w:eastAsia="zh-CN" w:bidi="ar-SA"/>
        </w:rPr>
      </w:pPr>
      <w:bookmarkStart w:id="41" w:name="_Toc28351"/>
      <w:bookmarkStart w:id="42" w:name="_Toc56615725"/>
      <w:r>
        <w:rPr>
          <w:rFonts w:hint="eastAsia" w:ascii="宋体" w:hAnsi="宋体" w:eastAsia="宋体" w:cs="宋体"/>
          <w:b/>
          <w:color w:val="auto"/>
          <w:sz w:val="36"/>
          <w:szCs w:val="44"/>
          <w:highlight w:val="none"/>
          <w:lang w:val="en-US" w:eastAsia="zh-CN" w:bidi="ar-SA"/>
        </w:rPr>
        <w:t>第六部分  投标人须知</w:t>
      </w:r>
      <w:bookmarkEnd w:id="41"/>
      <w:bookmarkEnd w:id="42"/>
    </w:p>
    <w:p>
      <w:pPr>
        <w:keepNext/>
        <w:keepLines/>
        <w:widowControl w:val="0"/>
        <w:numPr>
          <w:ilvl w:val="1"/>
          <w:numId w:val="0"/>
        </w:numPr>
        <w:tabs>
          <w:tab w:val="left" w:pos="567"/>
        </w:tabs>
        <w:autoSpaceDE/>
        <w:autoSpaceDN/>
        <w:spacing w:before="40" w:after="40" w:line="360" w:lineRule="auto"/>
        <w:ind w:left="0" w:right="0"/>
        <w:jc w:val="both"/>
        <w:rPr>
          <w:rFonts w:hint="eastAsia" w:ascii="宋体" w:hAnsi="宋体" w:eastAsia="宋体" w:cs="宋体"/>
          <w:b/>
          <w:bCs/>
          <w:color w:val="auto"/>
          <w:kern w:val="2"/>
          <w:sz w:val="21"/>
          <w:szCs w:val="21"/>
          <w:highlight w:val="none"/>
          <w:lang w:val="en-US" w:bidi="ar-SA"/>
        </w:rPr>
      </w:pPr>
      <w:bookmarkStart w:id="43" w:name="_Toc453844574"/>
      <w:bookmarkStart w:id="44" w:name="_Toc259090934"/>
      <w:bookmarkStart w:id="45" w:name="_Toc276645574"/>
      <w:bookmarkStart w:id="46" w:name="_Toc7628"/>
      <w:bookmarkStart w:id="47" w:name="_Toc435345599"/>
      <w:r>
        <w:rPr>
          <w:rFonts w:hint="eastAsia" w:ascii="宋体" w:hAnsi="宋体" w:eastAsia="宋体" w:cs="宋体"/>
          <w:b/>
          <w:bCs/>
          <w:color w:val="auto"/>
          <w:kern w:val="2"/>
          <w:sz w:val="21"/>
          <w:szCs w:val="21"/>
          <w:highlight w:val="none"/>
          <w:lang w:val="en-US" w:bidi="ar-SA"/>
        </w:rPr>
        <w:t>一、说  明</w:t>
      </w:r>
      <w:bookmarkEnd w:id="43"/>
      <w:bookmarkEnd w:id="44"/>
      <w:bookmarkEnd w:id="45"/>
      <w:bookmarkEnd w:id="46"/>
      <w:bookmarkEnd w:id="47"/>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48" w:name="_Toc435345600"/>
      <w:bookmarkStart w:id="49" w:name="_Toc453844575"/>
      <w:bookmarkStart w:id="50" w:name="_Toc259090935"/>
      <w:r>
        <w:rPr>
          <w:rFonts w:hint="eastAsia" w:ascii="宋体" w:hAnsi="宋体" w:eastAsia="宋体" w:cs="宋体"/>
          <w:b/>
          <w:bCs/>
          <w:color w:val="auto"/>
          <w:kern w:val="2"/>
          <w:sz w:val="21"/>
          <w:szCs w:val="21"/>
          <w:highlight w:val="none"/>
          <w:lang w:val="en-US" w:bidi="ar-SA"/>
        </w:rPr>
        <w:t>1．适用范围</w:t>
      </w:r>
      <w:bookmarkEnd w:id="48"/>
      <w:bookmarkEnd w:id="49"/>
      <w:bookmarkEnd w:id="50"/>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1.1本招标文件适用于《投标人须知前附表》所述项目。</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51" w:name="_Toc259090936"/>
      <w:bookmarkStart w:id="52" w:name="_Toc453844576"/>
      <w:bookmarkStart w:id="53" w:name="_Toc435345601"/>
      <w:r>
        <w:rPr>
          <w:rFonts w:hint="eastAsia" w:ascii="宋体" w:hAnsi="宋体" w:eastAsia="宋体" w:cs="宋体"/>
          <w:b/>
          <w:bCs/>
          <w:color w:val="auto"/>
          <w:kern w:val="2"/>
          <w:sz w:val="21"/>
          <w:szCs w:val="21"/>
          <w:highlight w:val="none"/>
          <w:lang w:val="en-US" w:bidi="ar-SA"/>
        </w:rPr>
        <w:t>2．定义</w:t>
      </w:r>
      <w:bookmarkEnd w:id="51"/>
      <w:bookmarkEnd w:id="52"/>
      <w:bookmarkEnd w:id="53"/>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2.1“采购人”是指《投标人须知前附表》列明的、获得资金的国家机关、企事业单位、团体组织或者其他社会组织。</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2.2“采购代理机构”是指：无。</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2.3“招标采购单位”是指：采购人或采购代理机构。</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2.4“投标人”是指：向采购人提供货物、工程、服务的法人、其他组织或者自然人。</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2.5“货物”是指：各种形态和种类的物品，包括原材料、燃料、设备、产品等。</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2.6“服务”是指：货物和工程以外的其他采购对象。</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2.7合格的投标人</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2.7.1符合招标文件资格规定的投标人。</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2.7.2符合《投标人须知前附表》所列资格要求的投标人。</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2.8合格的货物</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2.8.1投标人提供所有货物必须是全新的、未使用过的货物。</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2.8.2国产的货物及其有关服务必须符合中华人民共和国的设计和制造的国家及行业标准、强制性规范。</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2.8.3进口的货物及其有关服务必须符合原产地和/或者中华人民共和国的设计和制造生产或者行业标准，具有合法的进口手续和途径，并通过了进口检验检疫主管部门的检验。</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2.8.4除非“投标须知前附表”中允许，否则不允许以进口产品参加投标。</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2.8.5投标人应保证，采购人在中华人民共和国使用该货物或者货物的任何一部分时，免受第三方提出的侵犯其专利权、商标权、著作权或者其他知识产权的起诉。</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2.8.6满足《投标人须知前附表》所列其他要求。</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2.9合格的服务：满足《投标人须知前附表》所列要求。</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2.10“中标人”是指经法定程序确定并授予合同的投标人。</w:t>
      </w:r>
    </w:p>
    <w:p>
      <w:pPr>
        <w:keepNext/>
        <w:keepLines/>
        <w:widowControl w:val="0"/>
        <w:numPr>
          <w:ilvl w:val="1"/>
          <w:numId w:val="0"/>
        </w:numPr>
        <w:tabs>
          <w:tab w:val="left" w:pos="567"/>
        </w:tabs>
        <w:autoSpaceDE/>
        <w:autoSpaceDN/>
        <w:spacing w:before="40" w:after="40" w:line="360" w:lineRule="auto"/>
        <w:ind w:left="0" w:right="0"/>
        <w:jc w:val="both"/>
        <w:rPr>
          <w:rFonts w:hint="eastAsia" w:ascii="宋体" w:hAnsi="宋体" w:eastAsia="宋体" w:cs="宋体"/>
          <w:b/>
          <w:bCs/>
          <w:color w:val="auto"/>
          <w:kern w:val="2"/>
          <w:sz w:val="21"/>
          <w:szCs w:val="21"/>
          <w:highlight w:val="none"/>
          <w:lang w:val="en-US" w:bidi="ar-SA"/>
        </w:rPr>
      </w:pPr>
      <w:bookmarkStart w:id="54" w:name="_Toc680"/>
      <w:bookmarkStart w:id="55" w:name="_Toc453844578"/>
      <w:bookmarkStart w:id="56" w:name="_Toc435345603"/>
      <w:bookmarkStart w:id="57" w:name="_Toc259090939"/>
      <w:r>
        <w:rPr>
          <w:rFonts w:hint="eastAsia" w:ascii="宋体" w:hAnsi="宋体" w:eastAsia="宋体" w:cs="宋体"/>
          <w:b/>
          <w:bCs/>
          <w:color w:val="auto"/>
          <w:kern w:val="2"/>
          <w:sz w:val="21"/>
          <w:szCs w:val="21"/>
          <w:highlight w:val="none"/>
          <w:lang w:val="en-US" w:bidi="ar-SA"/>
        </w:rPr>
        <w:t>二、</w:t>
      </w:r>
      <w:bookmarkEnd w:id="54"/>
      <w:bookmarkEnd w:id="55"/>
      <w:bookmarkEnd w:id="56"/>
      <w:bookmarkEnd w:id="57"/>
      <w:r>
        <w:rPr>
          <w:rFonts w:hint="eastAsia" w:ascii="宋体" w:hAnsi="宋体" w:eastAsia="宋体" w:cs="宋体"/>
          <w:b/>
          <w:bCs/>
          <w:color w:val="auto"/>
          <w:kern w:val="2"/>
          <w:sz w:val="21"/>
          <w:szCs w:val="21"/>
          <w:highlight w:val="none"/>
          <w:lang w:val="en-US" w:bidi="ar-SA"/>
        </w:rPr>
        <w:t>招标文件</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58" w:name="_Toc259090940"/>
      <w:bookmarkStart w:id="59" w:name="_Toc435345604"/>
      <w:bookmarkStart w:id="60" w:name="_Toc453844579"/>
      <w:r>
        <w:rPr>
          <w:rFonts w:hint="eastAsia" w:ascii="宋体" w:hAnsi="宋体" w:eastAsia="宋体" w:cs="宋体"/>
          <w:b/>
          <w:bCs/>
          <w:color w:val="auto"/>
          <w:kern w:val="2"/>
          <w:sz w:val="21"/>
          <w:szCs w:val="21"/>
          <w:highlight w:val="none"/>
          <w:lang w:val="en-US" w:bidi="ar-SA"/>
        </w:rPr>
        <w:t>3．招标文件的构成</w:t>
      </w:r>
      <w:bookmarkEnd w:id="58"/>
      <w:bookmarkEnd w:id="59"/>
      <w:bookmarkEnd w:id="60"/>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3.1招标文件由下列文件以及在招标过程中发出的修正和补充文件组成：</w:t>
      </w:r>
    </w:p>
    <w:p>
      <w:pPr>
        <w:widowControl w:val="0"/>
        <w:autoSpaceDE/>
        <w:autoSpaceDN/>
        <w:adjustRightInd w:val="0"/>
        <w:snapToGrid w:val="0"/>
        <w:spacing w:before="0" w:after="0" w:line="360" w:lineRule="auto"/>
        <w:ind w:left="0" w:right="0" w:firstLine="36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1） 招标公告</w:t>
      </w:r>
    </w:p>
    <w:p>
      <w:pPr>
        <w:widowControl w:val="0"/>
        <w:autoSpaceDE/>
        <w:autoSpaceDN/>
        <w:adjustRightInd w:val="0"/>
        <w:snapToGrid w:val="0"/>
        <w:spacing w:before="0" w:after="0" w:line="360" w:lineRule="auto"/>
        <w:ind w:left="0" w:right="0" w:firstLine="36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2） 用户需求书</w:t>
      </w:r>
    </w:p>
    <w:p>
      <w:pPr>
        <w:widowControl w:val="0"/>
        <w:autoSpaceDE/>
        <w:autoSpaceDN/>
        <w:adjustRightInd w:val="0"/>
        <w:snapToGrid w:val="0"/>
        <w:spacing w:before="0" w:after="0" w:line="360" w:lineRule="auto"/>
        <w:ind w:left="0" w:right="0" w:firstLine="36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3） 投标人须知前附表</w:t>
      </w:r>
    </w:p>
    <w:p>
      <w:pPr>
        <w:widowControl w:val="0"/>
        <w:autoSpaceDE/>
        <w:autoSpaceDN/>
        <w:adjustRightInd w:val="0"/>
        <w:snapToGrid w:val="0"/>
        <w:spacing w:before="0" w:after="0" w:line="360" w:lineRule="auto"/>
        <w:ind w:left="0" w:right="0" w:firstLine="36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4） 评标方法与标准</w:t>
      </w:r>
    </w:p>
    <w:p>
      <w:pPr>
        <w:widowControl w:val="0"/>
        <w:autoSpaceDE/>
        <w:autoSpaceDN/>
        <w:adjustRightInd w:val="0"/>
        <w:snapToGrid w:val="0"/>
        <w:spacing w:before="0" w:after="0" w:line="360" w:lineRule="auto"/>
        <w:ind w:left="0" w:right="0" w:firstLine="36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 xml:space="preserve">5） </w:t>
      </w:r>
      <w:r>
        <w:rPr>
          <w:rFonts w:hint="eastAsia" w:ascii="宋体" w:hAnsi="宋体" w:eastAsia="宋体" w:cs="宋体"/>
          <w:color w:val="auto"/>
          <w:sz w:val="21"/>
          <w:szCs w:val="21"/>
          <w:highlight w:val="none"/>
          <w:lang w:val="en-US" w:bidi="ar-SA"/>
        </w:rPr>
        <w:t>合同文本</w:t>
      </w:r>
    </w:p>
    <w:p>
      <w:pPr>
        <w:widowControl w:val="0"/>
        <w:autoSpaceDE/>
        <w:autoSpaceDN/>
        <w:adjustRightInd w:val="0"/>
        <w:snapToGrid w:val="0"/>
        <w:spacing w:before="0" w:after="0" w:line="360" w:lineRule="auto"/>
        <w:ind w:left="0" w:right="0" w:firstLine="360"/>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6） 投标文件格式</w:t>
      </w:r>
    </w:p>
    <w:p>
      <w:pPr>
        <w:widowControl w:val="0"/>
        <w:autoSpaceDE/>
        <w:autoSpaceDN/>
        <w:adjustRightInd w:val="0"/>
        <w:snapToGrid w:val="0"/>
        <w:spacing w:before="0" w:after="0" w:line="360" w:lineRule="auto"/>
        <w:ind w:left="0" w:right="0" w:firstLine="360"/>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 xml:space="preserve">7） </w:t>
      </w:r>
      <w:r>
        <w:rPr>
          <w:rFonts w:hint="eastAsia" w:ascii="宋体" w:hAnsi="宋体" w:eastAsia="宋体" w:cs="宋体"/>
          <w:color w:val="auto"/>
          <w:kern w:val="2"/>
          <w:sz w:val="21"/>
          <w:szCs w:val="21"/>
          <w:highlight w:val="none"/>
          <w:lang w:val="en-US" w:bidi="ar-SA"/>
        </w:rPr>
        <w:t>投标人须知</w:t>
      </w:r>
    </w:p>
    <w:p>
      <w:pPr>
        <w:widowControl w:val="0"/>
        <w:autoSpaceDE/>
        <w:autoSpaceDN/>
        <w:adjustRightInd w:val="0"/>
        <w:snapToGrid w:val="0"/>
        <w:spacing w:before="0" w:after="0" w:line="360" w:lineRule="auto"/>
        <w:ind w:left="0" w:right="0" w:firstLine="36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8） 在招标过程中由招标采购单位发出的修正和补充文件等</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3.2投标人应认真阅读、并充分理解招标文件的全部内容（包括所有的补充、修改内容、重要事项、格式、条款和技术规范、参数及要求等）。投标人没有按照招标文件要求提交全部资料，或者投标没有对招标文件在各方面都作出实质性响应是投标人的风险，有可能导致其投标被拒绝，或者被认定为无效投标或者被确定为投标无效。</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3.3投标人向本招标文件中所述的采购人咨询的有关本招标项目事项，一切以法律法规的规定和本公司书面答复为准，其他一切形式均为个人意见，不代表本</w:t>
      </w:r>
      <w:r>
        <w:rPr>
          <w:rFonts w:hint="eastAsia" w:ascii="宋体" w:hAnsi="宋体" w:eastAsia="宋体" w:cs="宋体"/>
          <w:color w:val="auto"/>
          <w:kern w:val="2"/>
          <w:sz w:val="21"/>
          <w:szCs w:val="21"/>
          <w:highlight w:val="none"/>
          <w:lang w:val="en-US" w:eastAsia="zh-CN" w:bidi="ar-SA"/>
        </w:rPr>
        <w:t>单位</w:t>
      </w:r>
      <w:r>
        <w:rPr>
          <w:rFonts w:hint="eastAsia" w:ascii="宋体" w:hAnsi="宋体" w:eastAsia="宋体" w:cs="宋体"/>
          <w:color w:val="auto"/>
          <w:kern w:val="2"/>
          <w:sz w:val="21"/>
          <w:szCs w:val="21"/>
          <w:highlight w:val="none"/>
          <w:lang w:val="en-US" w:bidi="ar-SA"/>
        </w:rPr>
        <w:t>的意见。</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61" w:name="_Toc453844580"/>
      <w:bookmarkStart w:id="62" w:name="_Toc259090941"/>
      <w:bookmarkStart w:id="63" w:name="_Toc435345605"/>
      <w:r>
        <w:rPr>
          <w:rFonts w:hint="eastAsia" w:ascii="宋体" w:hAnsi="宋体" w:eastAsia="宋体" w:cs="宋体"/>
          <w:b/>
          <w:bCs/>
          <w:color w:val="auto"/>
          <w:kern w:val="2"/>
          <w:sz w:val="21"/>
          <w:szCs w:val="21"/>
          <w:highlight w:val="none"/>
          <w:lang w:val="en-US" w:bidi="ar-SA"/>
        </w:rPr>
        <w:t>4．招标文件的澄清或者修改</w:t>
      </w:r>
      <w:bookmarkEnd w:id="61"/>
      <w:bookmarkEnd w:id="62"/>
      <w:bookmarkEnd w:id="63"/>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4.1招标文件的澄清是指采购人对招标文件中的遗漏、错误、词义表达不清或者对比较复杂的事项进行说明，回答投标人提出的各种问题。招标文件的修改是指采购人或者采购人对招标文件中出现的错误进行修订。投标截止期前的任何时候，无论出于何种原因，采购人可主动的或者在解答投标人提出的澄清问题时对招标文件进行修改，但不得改变采购标的和资格条件。澄清或者修改应当在原公告发布媒体上发布澄清公告。澄清或者修改的内容为招标文件的组成部分。</w:t>
      </w:r>
    </w:p>
    <w:p>
      <w:pPr>
        <w:keepLines/>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4.2任何要求对招标文件进行澄清的投标人，均应以书面形式通知招标采购单位。招标采购单位对其收到的对招标文件的书面澄清要求均以书面形式予以答复，同时将书面答复发给每个获取招标文件的投标人（答复中不包括问题的来源）。投标人在收到上述答复后，应立即向招标采购单位回函确认。该答复作为招标文件的一部分，对投标人有约束力。</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4.3招标文件的修改将以书面形式通知所有获取招标文件的投标人，并对其具有约束力。投标人在收到修改通知后，应立即向招标采购单位回函确认。</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4.4采购人对已发出的招标文件进行必要的澄清或者修改的，应当在招标文件要求提交投标文件截止时间至少十五个日历日前，以书面形式通知所有招标文件收受人。该澄清或者修改的内容为招标文件的组成部分。采购人修改招标文件之日起至投标截止期少于十五个日历日的，采购人或者采购代理机构应当顺延提交投标文件的截止时间，将变更时间书面通知所有招标文件收受人。</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4.5采购人或者采购代理机构将澄清（更正/变更）公告通知成功购买招标文件的投标人，投标人在收到澄清或者修改（更正/变更）通知后，应按要求以书面形式向采购人或者采购代理机构确认。如在24小时之内无书面确认则视为已收悉，并有责任履行相应的义务。</w:t>
      </w:r>
    </w:p>
    <w:p>
      <w:pPr>
        <w:keepNext/>
        <w:keepLines/>
        <w:widowControl w:val="0"/>
        <w:numPr>
          <w:ilvl w:val="1"/>
          <w:numId w:val="0"/>
        </w:numPr>
        <w:tabs>
          <w:tab w:val="left" w:pos="567"/>
        </w:tabs>
        <w:autoSpaceDE/>
        <w:autoSpaceDN/>
        <w:spacing w:before="40" w:after="40" w:line="360" w:lineRule="auto"/>
        <w:ind w:left="0" w:right="0"/>
        <w:jc w:val="both"/>
        <w:rPr>
          <w:rFonts w:hint="eastAsia" w:ascii="宋体" w:hAnsi="宋体" w:eastAsia="宋体" w:cs="宋体"/>
          <w:b/>
          <w:bCs/>
          <w:color w:val="auto"/>
          <w:kern w:val="2"/>
          <w:sz w:val="21"/>
          <w:szCs w:val="21"/>
          <w:highlight w:val="none"/>
          <w:lang w:val="en-US" w:bidi="ar-SA"/>
        </w:rPr>
      </w:pPr>
      <w:bookmarkStart w:id="64" w:name="_Toc259090942"/>
      <w:bookmarkStart w:id="65" w:name="_Toc435345606"/>
      <w:bookmarkStart w:id="66" w:name="_Toc31675"/>
      <w:bookmarkStart w:id="67" w:name="_Toc453844581"/>
      <w:r>
        <w:rPr>
          <w:rFonts w:hint="eastAsia" w:ascii="宋体" w:hAnsi="宋体" w:eastAsia="宋体" w:cs="宋体"/>
          <w:b/>
          <w:bCs/>
          <w:color w:val="auto"/>
          <w:kern w:val="2"/>
          <w:sz w:val="21"/>
          <w:szCs w:val="21"/>
          <w:highlight w:val="none"/>
          <w:lang w:val="en-US" w:bidi="ar-SA"/>
        </w:rPr>
        <w:t>三、投标文件的编制</w:t>
      </w:r>
      <w:bookmarkEnd w:id="64"/>
      <w:bookmarkEnd w:id="65"/>
      <w:bookmarkEnd w:id="66"/>
      <w:bookmarkEnd w:id="67"/>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68" w:name="_Toc259090943"/>
      <w:bookmarkStart w:id="69" w:name="_Toc435345607"/>
      <w:bookmarkStart w:id="70" w:name="_Toc453844582"/>
      <w:r>
        <w:rPr>
          <w:rFonts w:hint="eastAsia" w:ascii="宋体" w:hAnsi="宋体" w:eastAsia="宋体" w:cs="宋体"/>
          <w:b/>
          <w:bCs/>
          <w:color w:val="auto"/>
          <w:kern w:val="2"/>
          <w:sz w:val="21"/>
          <w:szCs w:val="21"/>
          <w:highlight w:val="none"/>
          <w:lang w:val="en-US" w:bidi="ar-SA"/>
        </w:rPr>
        <w:t>5．投标的语言</w:t>
      </w:r>
      <w:bookmarkEnd w:id="68"/>
      <w:r>
        <w:rPr>
          <w:rFonts w:hint="eastAsia" w:ascii="宋体" w:hAnsi="宋体" w:eastAsia="宋体" w:cs="宋体"/>
          <w:b/>
          <w:bCs/>
          <w:color w:val="auto"/>
          <w:kern w:val="2"/>
          <w:sz w:val="21"/>
          <w:szCs w:val="21"/>
          <w:highlight w:val="none"/>
          <w:lang w:val="en-US" w:bidi="ar-SA"/>
        </w:rPr>
        <w:t>及计量</w:t>
      </w:r>
      <w:bookmarkEnd w:id="69"/>
      <w:bookmarkEnd w:id="70"/>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5.1投标人提交的投标文件以及投标人与（招标采购单位）就有关投标的所有来往函电均应使用中文。投标人提交的支持文件或者印刷的资料可以用另一种语言，但相应内容应附有中文翻译本，在解释投标文件的修改内容时以中文翻译本为准。对中文翻译有异议的，以权威机构的译本为准。</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5.2除非招标文件中另有规定，投标人在投标文件中及其与招标采购单位的所有往来文件中的计量单位均应采用中华人民共和国法定计量单位。</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71" w:name="_Toc453844583"/>
      <w:bookmarkStart w:id="72" w:name="_Toc435345608"/>
      <w:bookmarkStart w:id="73" w:name="_Toc259090944"/>
      <w:r>
        <w:rPr>
          <w:rFonts w:hint="eastAsia" w:ascii="宋体" w:hAnsi="宋体" w:eastAsia="宋体" w:cs="宋体"/>
          <w:b/>
          <w:bCs/>
          <w:color w:val="auto"/>
          <w:kern w:val="2"/>
          <w:sz w:val="21"/>
          <w:szCs w:val="21"/>
          <w:highlight w:val="none"/>
          <w:lang w:val="en-US" w:bidi="ar-SA"/>
        </w:rPr>
        <w:t>6．投标文件的构成</w:t>
      </w:r>
      <w:bookmarkEnd w:id="71"/>
      <w:bookmarkEnd w:id="72"/>
      <w:bookmarkEnd w:id="73"/>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6.1投标文件的构成应符合法律法规及招标文件的要求，具体内容应包括但不少于本招标文件《投标文件格式》的所有内容。</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6.2投标文件必须按照招标文件要求签署、盖章（不接受电子公章、电子签名或者电子签章)。</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74" w:name="_Toc259090945"/>
      <w:bookmarkStart w:id="75" w:name="_Toc435345609"/>
      <w:bookmarkStart w:id="76" w:name="_Toc453844584"/>
      <w:r>
        <w:rPr>
          <w:rFonts w:hint="eastAsia" w:ascii="宋体" w:hAnsi="宋体" w:eastAsia="宋体" w:cs="宋体"/>
          <w:b/>
          <w:bCs/>
          <w:color w:val="auto"/>
          <w:kern w:val="2"/>
          <w:sz w:val="21"/>
          <w:szCs w:val="21"/>
          <w:highlight w:val="none"/>
          <w:lang w:val="en-US" w:bidi="ar-SA"/>
        </w:rPr>
        <w:t>7．投标文件编制</w:t>
      </w:r>
      <w:bookmarkEnd w:id="74"/>
      <w:bookmarkEnd w:id="75"/>
      <w:bookmarkEnd w:id="76"/>
    </w:p>
    <w:p>
      <w:pPr>
        <w:widowControl w:val="0"/>
        <w:adjustRightInd w:val="0"/>
        <w:snapToGrid w:val="0"/>
        <w:spacing w:line="360" w:lineRule="auto"/>
        <w:ind w:left="420" w:hanging="420" w:hanging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7.1投标人应当对投标文件进行装订，对未经装订的投标文件可能发生的文件散落或缺损，由此产生的后果由投标人承担。</w:t>
      </w:r>
    </w:p>
    <w:p>
      <w:pPr>
        <w:widowControl w:val="0"/>
        <w:adjustRightInd w:val="0"/>
        <w:snapToGrid w:val="0"/>
        <w:spacing w:line="360" w:lineRule="auto"/>
        <w:ind w:left="420" w:hanging="420" w:hanging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7.2投标人应完整、真实、准确的填写招标文件中规定的所有内容。</w:t>
      </w:r>
    </w:p>
    <w:p>
      <w:pPr>
        <w:widowControl w:val="0"/>
        <w:adjustRightInd w:val="0"/>
        <w:snapToGrid w:val="0"/>
        <w:spacing w:line="360" w:lineRule="auto"/>
        <w:ind w:left="420" w:hanging="420" w:hanging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7.3投标人必须对投标文件所提供的全部资料的真实性承担法律责任，并无条件接受招标采购单位对其中任何资料进行核实的要求。</w:t>
      </w:r>
    </w:p>
    <w:p>
      <w:pPr>
        <w:widowControl w:val="0"/>
        <w:adjustRightInd w:val="0"/>
        <w:snapToGrid w:val="0"/>
        <w:spacing w:line="360" w:lineRule="auto"/>
        <w:ind w:left="420" w:hanging="420" w:hanging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7.4如果因为投标人投标文件填报的内容不详，或没有提供招标文件中所要求的全部资料及数据，由此造成的后果由投标人承担。</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77" w:name="_Toc435345610"/>
      <w:bookmarkStart w:id="78" w:name="_Toc259090946"/>
      <w:bookmarkStart w:id="79" w:name="_Toc453844585"/>
      <w:r>
        <w:rPr>
          <w:rFonts w:hint="eastAsia" w:ascii="宋体" w:hAnsi="宋体" w:eastAsia="宋体" w:cs="宋体"/>
          <w:b/>
          <w:bCs/>
          <w:color w:val="auto"/>
          <w:kern w:val="2"/>
          <w:sz w:val="21"/>
          <w:szCs w:val="21"/>
          <w:highlight w:val="none"/>
          <w:lang w:val="en-US" w:bidi="ar-SA"/>
        </w:rPr>
        <w:t>8．投标报价</w:t>
      </w:r>
      <w:bookmarkEnd w:id="77"/>
      <w:bookmarkEnd w:id="78"/>
      <w:bookmarkEnd w:id="79"/>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8.1如招标文件无特殊规定，投标价格以人民币填报。</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8.2投标人应按照《投标人须知前附表》《用户需求书》规定的内容进行报价，并按《报价表》确定的格式报出价格。投标总价中不得包含招标文件要求以外的内容，否则，在评标时不予核减。投标总价中也不得缺漏招标文件所要求的内容，否则，视为该漏报或者不报部分的费用已包括在已报的分项报价中而不予支付。</w:t>
      </w:r>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8.3《投标分项报价表》填写时应响应下列要求：</w:t>
      </w:r>
    </w:p>
    <w:p>
      <w:pPr>
        <w:widowControl w:val="0"/>
        <w:autoSpaceDE/>
        <w:autoSpaceDN/>
        <w:adjustRightInd w:val="0"/>
        <w:snapToGrid w:val="0"/>
        <w:spacing w:before="0" w:after="0" w:line="360" w:lineRule="auto"/>
        <w:ind w:left="650" w:leftChars="200" w:right="0" w:hanging="210" w:hangingChars="1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1） 所有根据合同或者其他原因应由投标人支付的税款和其他应缴纳的费用都要包括在投标人提交的投标价格中；</w:t>
      </w:r>
    </w:p>
    <w:p>
      <w:pPr>
        <w:widowControl w:val="0"/>
        <w:autoSpaceDE/>
        <w:autoSpaceDN/>
        <w:adjustRightInd w:val="0"/>
        <w:snapToGrid w:val="0"/>
        <w:spacing w:before="0" w:after="0" w:line="360" w:lineRule="auto"/>
        <w:ind w:left="700" w:right="0" w:hanging="280"/>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kern w:val="2"/>
          <w:sz w:val="21"/>
          <w:szCs w:val="21"/>
          <w:highlight w:val="none"/>
          <w:lang w:val="en-US" w:bidi="ar-SA"/>
        </w:rPr>
        <w:t xml:space="preserve">2） </w:t>
      </w:r>
      <w:r>
        <w:rPr>
          <w:rFonts w:hint="eastAsia" w:ascii="宋体" w:hAnsi="宋体" w:eastAsia="宋体" w:cs="宋体"/>
          <w:color w:val="auto"/>
          <w:sz w:val="21"/>
          <w:szCs w:val="21"/>
          <w:highlight w:val="none"/>
          <w:lang w:val="en-US" w:bidi="ar-SA"/>
        </w:rPr>
        <w:t>应包含货物运至最终目的地的运输、保险和伴随货物服务的其他所有费用。</w:t>
      </w:r>
    </w:p>
    <w:p>
      <w:pPr>
        <w:widowControl w:val="0"/>
        <w:autoSpaceDE/>
        <w:autoSpaceDN/>
        <w:adjustRightInd w:val="0"/>
        <w:snapToGrid w:val="0"/>
        <w:spacing w:before="0" w:after="0" w:line="360" w:lineRule="auto"/>
        <w:ind w:left="0" w:right="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sz w:val="21"/>
          <w:szCs w:val="21"/>
          <w:highlight w:val="none"/>
          <w:lang w:val="en-US" w:bidi="ar-SA"/>
        </w:rPr>
        <w:t>8.4</w:t>
      </w:r>
      <w:r>
        <w:rPr>
          <w:rFonts w:hint="eastAsia" w:ascii="宋体" w:hAnsi="宋体" w:eastAsia="宋体" w:cs="宋体"/>
          <w:color w:val="auto"/>
          <w:kern w:val="2"/>
          <w:sz w:val="21"/>
          <w:szCs w:val="21"/>
          <w:highlight w:val="none"/>
          <w:lang w:val="en-US" w:bidi="ar-SA"/>
        </w:rPr>
        <w:t>投标文件报价出现前后不一致的，按照下列规定修正：（一）投标文件中</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bidi="ar-SA"/>
        </w:rPr>
        <w:t>报价表</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bidi="ar-SA"/>
        </w:rPr>
        <w:t>内容与投标文件中相应内容不一致的，以开标一览表《报价表》为准；（二）大写金额和小写金额不一致的，以大写金额为准；（三）单价金额小数点或者百分比有明显错位的，以开标一览表的总价为准，并修改单价；（四）总价金额与按单价汇总金额不一致的，以单价金额计算结果为准。同时出现两种以上不一致的，按照前款规定的顺序修正。</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80" w:name="_Toc453844586"/>
      <w:bookmarkStart w:id="81" w:name="_Toc435345611"/>
      <w:bookmarkStart w:id="82" w:name="_Toc259090947"/>
      <w:r>
        <w:rPr>
          <w:rFonts w:hint="eastAsia" w:ascii="宋体" w:hAnsi="宋体" w:eastAsia="宋体" w:cs="宋体"/>
          <w:b/>
          <w:bCs/>
          <w:color w:val="auto"/>
          <w:kern w:val="2"/>
          <w:sz w:val="21"/>
          <w:szCs w:val="21"/>
          <w:highlight w:val="none"/>
          <w:lang w:val="en-US" w:bidi="ar-SA"/>
        </w:rPr>
        <w:t>9．备选方案</w:t>
      </w:r>
      <w:bookmarkEnd w:id="80"/>
      <w:bookmarkEnd w:id="81"/>
      <w:bookmarkEnd w:id="82"/>
    </w:p>
    <w:p>
      <w:pPr>
        <w:widowControl w:val="0"/>
        <w:autoSpaceDE/>
        <w:autoSpaceDN/>
        <w:adjustRightInd w:val="0"/>
        <w:snapToGrid w:val="0"/>
        <w:spacing w:before="0" w:after="0" w:line="360" w:lineRule="auto"/>
        <w:ind w:left="420" w:right="0" w:hanging="420" w:hangingChars="20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9.1只允许投标人有一个投标方案，否则将被视为无效投标。（招标文件允许有备选方案的除外）</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83" w:name="_Toc453844587"/>
      <w:bookmarkStart w:id="84" w:name="_Toc259090949"/>
      <w:bookmarkStart w:id="85" w:name="_Toc435345612"/>
      <w:r>
        <w:rPr>
          <w:rFonts w:hint="eastAsia" w:ascii="宋体" w:hAnsi="宋体" w:eastAsia="宋体" w:cs="宋体"/>
          <w:b/>
          <w:bCs/>
          <w:color w:val="auto"/>
          <w:kern w:val="2"/>
          <w:sz w:val="21"/>
          <w:szCs w:val="21"/>
          <w:highlight w:val="none"/>
          <w:lang w:val="en-US" w:bidi="ar-SA"/>
        </w:rPr>
        <w:t>10．投标人资格证明文件</w:t>
      </w:r>
      <w:bookmarkEnd w:id="83"/>
      <w:bookmarkEnd w:id="84"/>
      <w:bookmarkEnd w:id="85"/>
    </w:p>
    <w:p>
      <w:pPr>
        <w:widowControl w:val="0"/>
        <w:tabs>
          <w:tab w:val="left" w:pos="7740"/>
        </w:tabs>
        <w:autoSpaceDE/>
        <w:autoSpaceDN/>
        <w:adjustRightInd w:val="0"/>
        <w:snapToGrid w:val="0"/>
        <w:spacing w:before="0" w:after="0" w:line="360" w:lineRule="auto"/>
        <w:ind w:left="420" w:right="0" w:hanging="42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10.1投标人应按招标文件的要求，提交证明其有资格参加投标和中标后有履行合同能力的文件，并作为其投标文件的组成部分，内容详见招标文件《投标文件格式》中的“资格性文件”。</w:t>
      </w:r>
    </w:p>
    <w:p>
      <w:pPr>
        <w:widowControl w:val="0"/>
        <w:tabs>
          <w:tab w:val="left" w:pos="7740"/>
        </w:tabs>
        <w:autoSpaceDE/>
        <w:autoSpaceDN/>
        <w:adjustRightInd w:val="0"/>
        <w:snapToGrid w:val="0"/>
        <w:spacing w:before="0" w:after="0" w:line="360" w:lineRule="auto"/>
        <w:ind w:left="420" w:right="0" w:hanging="42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10.2资格证明文件必须真实有效，复印件必须加盖单位印章；招标文件投标人资格要求或者《投标文件格式》中的“资格性文件”要求携带原件的，投标人应该在开标现场向评标委员会提供原件核对，否则将作无效投标处理。</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86" w:name="_Toc259090951"/>
      <w:bookmarkStart w:id="87" w:name="_Toc435345614"/>
      <w:bookmarkStart w:id="88" w:name="_Toc453844589"/>
      <w:bookmarkStart w:id="89" w:name="_Toc230597966"/>
      <w:bookmarkStart w:id="90" w:name="_Toc42923352"/>
      <w:bookmarkStart w:id="91" w:name="_Toc222823292"/>
      <w:r>
        <w:rPr>
          <w:rFonts w:hint="eastAsia" w:ascii="宋体" w:hAnsi="宋体" w:eastAsia="宋体" w:cs="宋体"/>
          <w:b/>
          <w:bCs/>
          <w:color w:val="auto"/>
          <w:kern w:val="2"/>
          <w:sz w:val="21"/>
          <w:szCs w:val="21"/>
          <w:highlight w:val="none"/>
          <w:lang w:val="en-US" w:bidi="ar-SA"/>
        </w:rPr>
        <w:t>11．投标有效期</w:t>
      </w:r>
      <w:bookmarkEnd w:id="86"/>
      <w:bookmarkEnd w:id="87"/>
      <w:bookmarkEnd w:id="88"/>
      <w:bookmarkEnd w:id="89"/>
      <w:bookmarkEnd w:id="90"/>
      <w:bookmarkEnd w:id="91"/>
    </w:p>
    <w:p>
      <w:pPr>
        <w:widowControl w:val="0"/>
        <w:autoSpaceDE w:val="0"/>
        <w:autoSpaceDN w:val="0"/>
        <w:adjustRightInd w:val="0"/>
        <w:snapToGrid w:val="0"/>
        <w:spacing w:before="0" w:after="0" w:line="360" w:lineRule="auto"/>
        <w:ind w:left="473" w:right="32"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kern w:val="2"/>
          <w:sz w:val="21"/>
          <w:szCs w:val="21"/>
          <w:highlight w:val="none"/>
          <w:lang w:val="en-US" w:bidi="ar-SA"/>
        </w:rPr>
        <w:t>11</w:t>
      </w:r>
      <w:r>
        <w:rPr>
          <w:rFonts w:hint="eastAsia" w:ascii="宋体" w:hAnsi="宋体" w:eastAsia="宋体" w:cs="宋体"/>
          <w:color w:val="auto"/>
          <w:sz w:val="21"/>
          <w:szCs w:val="21"/>
          <w:highlight w:val="none"/>
          <w:lang w:val="en-US" w:bidi="ar-SA"/>
        </w:rPr>
        <w:t>.1 投标文件应在《投标人须知前附表》规定的时间内保持有效。投标有效期比规定时间短的将作无效投标处理。</w:t>
      </w:r>
    </w:p>
    <w:p>
      <w:pPr>
        <w:widowControl w:val="0"/>
        <w:autoSpaceDE w:val="0"/>
        <w:autoSpaceDN w:val="0"/>
        <w:adjustRightInd w:val="0"/>
        <w:snapToGrid w:val="0"/>
        <w:spacing w:before="0" w:after="0" w:line="360" w:lineRule="auto"/>
        <w:ind w:left="473" w:right="32"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kern w:val="2"/>
          <w:sz w:val="21"/>
          <w:szCs w:val="21"/>
          <w:highlight w:val="none"/>
          <w:lang w:val="en-US" w:bidi="ar-SA"/>
        </w:rPr>
        <w:t>11</w:t>
      </w:r>
      <w:r>
        <w:rPr>
          <w:rFonts w:hint="eastAsia" w:ascii="宋体" w:hAnsi="宋体" w:eastAsia="宋体" w:cs="宋体"/>
          <w:color w:val="auto"/>
          <w:sz w:val="21"/>
          <w:szCs w:val="21"/>
          <w:highlight w:val="none"/>
          <w:lang w:val="en-US" w:bidi="ar-SA"/>
        </w:rPr>
        <w:t>.2 特殊情况下，采购人可于投标有效期期满之前，要求投标人同意延长投标有效期，要求与答复均应为书面形式。投标人可以拒绝上述要求。对于同意该要求的投标人，既不要求也不允许其修改投标文件。</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92" w:name="_Toc453844590"/>
      <w:bookmarkStart w:id="93" w:name="_Toc259090952"/>
      <w:bookmarkStart w:id="94" w:name="_Toc435345615"/>
      <w:r>
        <w:rPr>
          <w:rFonts w:hint="eastAsia" w:ascii="宋体" w:hAnsi="宋体" w:eastAsia="宋体" w:cs="宋体"/>
          <w:b/>
          <w:bCs/>
          <w:color w:val="auto"/>
          <w:kern w:val="2"/>
          <w:sz w:val="21"/>
          <w:szCs w:val="21"/>
          <w:highlight w:val="none"/>
          <w:lang w:val="en-US" w:bidi="ar-SA"/>
        </w:rPr>
        <w:t>12．投标文件的数量和签署</w:t>
      </w:r>
      <w:bookmarkEnd w:id="92"/>
      <w:bookmarkEnd w:id="93"/>
      <w:bookmarkEnd w:id="94"/>
    </w:p>
    <w:p>
      <w:pPr>
        <w:widowControl w:val="0"/>
        <w:autoSpaceDE w:val="0"/>
        <w:autoSpaceDN w:val="0"/>
        <w:adjustRightInd w:val="0"/>
        <w:snapToGrid w:val="0"/>
        <w:spacing w:before="0" w:after="0" w:line="360" w:lineRule="auto"/>
        <w:ind w:left="473" w:right="32"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12.1 投标人应按《投标人须知前附表》规定的数量提交投标文件，投标文件的副本可采用正本的复印件。每套投标文件须清楚地标明“正本”“副本”。若副本与正本不符，以正本为准。</w:t>
      </w:r>
    </w:p>
    <w:p>
      <w:pPr>
        <w:widowControl w:val="0"/>
        <w:autoSpaceDE w:val="0"/>
        <w:autoSpaceDN w:val="0"/>
        <w:adjustRightInd w:val="0"/>
        <w:snapToGrid w:val="0"/>
        <w:spacing w:before="0" w:after="0" w:line="360" w:lineRule="auto"/>
        <w:ind w:left="473" w:right="32"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12.2 投标文件的正本需打印或者用不褪色墨水书写，并由法定代表人或者经其正式授权的代表签字，被授权代表签字的应在投标文件中附《法定代表人授权书》。</w:t>
      </w:r>
    </w:p>
    <w:p>
      <w:pPr>
        <w:widowControl w:val="0"/>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12.3 投标文件中的任何重要的插字、涂改和增删，必须由法定代表人或者经其正式授权的代表在旁边签章或者签字才有效。（暗标除外）</w:t>
      </w:r>
    </w:p>
    <w:p>
      <w:pPr>
        <w:widowControl w:val="0"/>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12.4招标文件中已明示需盖章签名处，均须加盖投标人公章，并经投标人法定代表人或者其授权委托人签名或者盖章。（暗标除外）</w:t>
      </w:r>
    </w:p>
    <w:p>
      <w:pPr>
        <w:widowControl w:val="0"/>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12.5电报、电话、传真形式的投标文件概不接受。</w:t>
      </w:r>
    </w:p>
    <w:p>
      <w:pPr>
        <w:keepNext/>
        <w:keepLines/>
        <w:widowControl w:val="0"/>
        <w:numPr>
          <w:ilvl w:val="1"/>
          <w:numId w:val="0"/>
        </w:numPr>
        <w:tabs>
          <w:tab w:val="left" w:pos="567"/>
        </w:tabs>
        <w:autoSpaceDE/>
        <w:autoSpaceDN/>
        <w:spacing w:before="40" w:after="40" w:line="360" w:lineRule="auto"/>
        <w:ind w:left="0" w:right="0"/>
        <w:jc w:val="both"/>
        <w:rPr>
          <w:rFonts w:hint="eastAsia" w:ascii="宋体" w:hAnsi="宋体" w:eastAsia="宋体" w:cs="宋体"/>
          <w:b/>
          <w:bCs/>
          <w:color w:val="auto"/>
          <w:kern w:val="2"/>
          <w:sz w:val="21"/>
          <w:szCs w:val="21"/>
          <w:highlight w:val="none"/>
          <w:lang w:val="en-US" w:bidi="ar-SA"/>
        </w:rPr>
      </w:pPr>
      <w:bookmarkStart w:id="95" w:name="_Toc435345616"/>
      <w:bookmarkStart w:id="96" w:name="_Toc24707"/>
      <w:bookmarkStart w:id="97" w:name="_Toc259090953"/>
      <w:bookmarkStart w:id="98" w:name="_Toc453844591"/>
      <w:r>
        <w:rPr>
          <w:rFonts w:hint="eastAsia" w:ascii="宋体" w:hAnsi="宋体" w:eastAsia="宋体" w:cs="宋体"/>
          <w:b/>
          <w:bCs/>
          <w:color w:val="auto"/>
          <w:kern w:val="2"/>
          <w:sz w:val="21"/>
          <w:szCs w:val="21"/>
          <w:highlight w:val="none"/>
          <w:lang w:val="en-US" w:bidi="ar-SA"/>
        </w:rPr>
        <w:t>四、投标文件的递交</w:t>
      </w:r>
      <w:bookmarkEnd w:id="95"/>
      <w:bookmarkEnd w:id="96"/>
      <w:bookmarkEnd w:id="97"/>
      <w:bookmarkEnd w:id="98"/>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99" w:name="_Toc259090954"/>
      <w:bookmarkStart w:id="100" w:name="_Toc435345617"/>
      <w:bookmarkStart w:id="101" w:name="_Toc453844592"/>
      <w:r>
        <w:rPr>
          <w:rFonts w:hint="eastAsia" w:ascii="宋体" w:hAnsi="宋体" w:eastAsia="宋体" w:cs="宋体"/>
          <w:b/>
          <w:bCs/>
          <w:color w:val="auto"/>
          <w:kern w:val="2"/>
          <w:sz w:val="21"/>
          <w:szCs w:val="21"/>
          <w:highlight w:val="none"/>
          <w:lang w:val="en-US" w:bidi="ar-SA"/>
        </w:rPr>
        <w:t>13．投标文件的密封和标记</w:t>
      </w:r>
      <w:bookmarkEnd w:id="99"/>
      <w:bookmarkEnd w:id="100"/>
      <w:bookmarkEnd w:id="101"/>
    </w:p>
    <w:p>
      <w:pPr>
        <w:widowControl w:val="0"/>
        <w:tabs>
          <w:tab w:val="left" w:pos="7740"/>
        </w:tabs>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13.1投标人应将投标文件正本和副本进行密封。</w:t>
      </w:r>
    </w:p>
    <w:p>
      <w:pPr>
        <w:widowControl w:val="0"/>
        <w:tabs>
          <w:tab w:val="left" w:pos="7740"/>
        </w:tabs>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13.2每一密封信封均应：</w:t>
      </w:r>
    </w:p>
    <w:p>
      <w:pPr>
        <w:widowControl w:val="0"/>
        <w:tabs>
          <w:tab w:val="left" w:pos="7740"/>
        </w:tabs>
        <w:autoSpaceDE/>
        <w:autoSpaceDN/>
        <w:adjustRightInd w:val="0"/>
        <w:snapToGrid w:val="0"/>
        <w:spacing w:before="0" w:after="0" w:line="360" w:lineRule="auto"/>
        <w:ind w:left="1294" w:leftChars="343" w:right="0" w:hanging="539" w:hangingChars="257"/>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（1）标明项目编号、项目名称，并注明“正本”或者“副本”字样；</w:t>
      </w:r>
    </w:p>
    <w:p>
      <w:pPr>
        <w:widowControl w:val="0"/>
        <w:tabs>
          <w:tab w:val="left" w:pos="7740"/>
        </w:tabs>
        <w:autoSpaceDE/>
        <w:autoSpaceDN/>
        <w:adjustRightInd w:val="0"/>
        <w:snapToGrid w:val="0"/>
        <w:spacing w:before="0" w:after="0" w:line="360" w:lineRule="auto"/>
        <w:ind w:left="1294" w:leftChars="343" w:right="0" w:hanging="539" w:hangingChars="257"/>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（2）注明“于（投标截止时间）之前不准启封”的字样。</w:t>
      </w:r>
    </w:p>
    <w:p>
      <w:pPr>
        <w:widowControl w:val="0"/>
        <w:tabs>
          <w:tab w:val="left" w:pos="7740"/>
        </w:tabs>
        <w:autoSpaceDE/>
        <w:autoSpaceDN/>
        <w:adjustRightInd w:val="0"/>
        <w:snapToGrid w:val="0"/>
        <w:spacing w:before="0" w:after="0" w:line="360" w:lineRule="auto"/>
        <w:ind w:left="1294" w:leftChars="343" w:right="0" w:hanging="539" w:hangingChars="257"/>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（3）</w:t>
      </w:r>
      <w:r>
        <w:rPr>
          <w:rFonts w:hint="eastAsia" w:ascii="宋体" w:hAnsi="宋体" w:eastAsia="宋体" w:cs="宋体"/>
          <w:color w:val="auto"/>
          <w:kern w:val="2"/>
          <w:sz w:val="21"/>
          <w:szCs w:val="21"/>
          <w:highlight w:val="none"/>
          <w:lang w:val="en-US" w:bidi="ar-SA"/>
        </w:rPr>
        <w:t>封口处应加盖投标人印章</w:t>
      </w:r>
      <w:r>
        <w:rPr>
          <w:rFonts w:hint="eastAsia" w:ascii="宋体" w:hAnsi="宋体" w:eastAsia="宋体" w:cs="宋体"/>
          <w:color w:val="auto"/>
          <w:sz w:val="21"/>
          <w:szCs w:val="21"/>
          <w:highlight w:val="none"/>
          <w:lang w:val="en-US" w:bidi="ar-SA"/>
        </w:rPr>
        <w:t>。</w:t>
      </w:r>
    </w:p>
    <w:p>
      <w:pPr>
        <w:widowControl w:val="0"/>
        <w:tabs>
          <w:tab w:val="left" w:pos="7740"/>
        </w:tabs>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13.3如果信封未按本须知第14.1条和第14.2条要求进行密封和标记的，采购人不会拒绝接收其投标文件，但采购人对误投或者过早启封以及由此造成的风险和损失概不负责。</w:t>
      </w:r>
    </w:p>
    <w:p>
      <w:pPr>
        <w:widowControl w:val="0"/>
        <w:autoSpaceDE/>
        <w:autoSpaceDN/>
        <w:adjustRightInd w:val="0"/>
        <w:snapToGrid w:val="0"/>
        <w:spacing w:before="0" w:after="0" w:line="360" w:lineRule="auto"/>
        <w:ind w:left="473" w:right="32"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13.4投标文件未密封的或者在递交截止时间后递交的，采购人将拒绝接收。</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02" w:name="_Toc453844593"/>
      <w:bookmarkStart w:id="103" w:name="_Toc435345618"/>
      <w:bookmarkStart w:id="104" w:name="_Toc259090955"/>
      <w:r>
        <w:rPr>
          <w:rFonts w:hint="eastAsia" w:ascii="宋体" w:hAnsi="宋体" w:eastAsia="宋体" w:cs="宋体"/>
          <w:b/>
          <w:bCs/>
          <w:color w:val="auto"/>
          <w:kern w:val="2"/>
          <w:sz w:val="21"/>
          <w:szCs w:val="21"/>
          <w:highlight w:val="none"/>
          <w:lang w:val="en-US" w:bidi="ar-SA"/>
        </w:rPr>
        <w:t>14．投标截止期</w:t>
      </w:r>
      <w:bookmarkEnd w:id="102"/>
      <w:bookmarkEnd w:id="103"/>
      <w:bookmarkEnd w:id="104"/>
    </w:p>
    <w:p>
      <w:pPr>
        <w:widowControl w:val="0"/>
        <w:tabs>
          <w:tab w:val="left" w:pos="7740"/>
        </w:tabs>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14.1招标采购单位在《投标人须知前附表》中规定的地点和投标截止时间之前接收投标文件，超过截止时点后的投标为无效投标。“提交投标文件截止时间”和“开标时间”不包含最后一分钟。例如，提交投标文件截止时间为9:30表示截止时间为9点30分00秒。</w:t>
      </w:r>
    </w:p>
    <w:p>
      <w:pPr>
        <w:widowControl w:val="0"/>
        <w:autoSpaceDE/>
        <w:autoSpaceDN/>
        <w:adjustRightInd w:val="0"/>
        <w:snapToGrid w:val="0"/>
        <w:spacing w:before="0" w:after="0" w:line="360" w:lineRule="auto"/>
        <w:ind w:left="473" w:right="32" w:hanging="472" w:hangingChars="225"/>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sz w:val="21"/>
          <w:szCs w:val="21"/>
          <w:highlight w:val="none"/>
          <w:lang w:val="en-US" w:bidi="ar-SA"/>
        </w:rPr>
        <w:t>14.2招标采购单位可以按本须知5.规定，通过修改招标文件自行决定酌情延长投标截止期。在此情况下，招标采购单位和投标人受投标截止期制约的所有权利和义务均应延长至新的截止期。</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05" w:name="_Toc453844594"/>
      <w:bookmarkStart w:id="106" w:name="_Toc435345619"/>
      <w:bookmarkStart w:id="107" w:name="_Toc259090956"/>
      <w:r>
        <w:rPr>
          <w:rFonts w:hint="eastAsia" w:ascii="宋体" w:hAnsi="宋体" w:eastAsia="宋体" w:cs="宋体"/>
          <w:b/>
          <w:bCs/>
          <w:color w:val="auto"/>
          <w:kern w:val="2"/>
          <w:sz w:val="21"/>
          <w:szCs w:val="21"/>
          <w:highlight w:val="none"/>
          <w:lang w:val="en-US" w:bidi="ar-SA"/>
        </w:rPr>
        <w:t>15．投标文件的修改和撤回</w:t>
      </w:r>
      <w:bookmarkEnd w:id="105"/>
      <w:bookmarkEnd w:id="106"/>
      <w:bookmarkEnd w:id="107"/>
    </w:p>
    <w:p>
      <w:pPr>
        <w:widowControl w:val="0"/>
        <w:tabs>
          <w:tab w:val="left" w:pos="7740"/>
        </w:tabs>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15.1投标人在投标截止时间前，可以对所递交的投标文件进行补充、修改或者撤回，并书面通知招标采购单位。补充、修改的内容应当按招标文件要求签署、盖章，并作为投标文件的组成部分。在投标截止时点之后，投标人不得对其投标文件做任何修改和补充。</w:t>
      </w:r>
    </w:p>
    <w:p>
      <w:pPr>
        <w:widowControl w:val="0"/>
        <w:tabs>
          <w:tab w:val="left" w:pos="7740"/>
        </w:tabs>
        <w:autoSpaceDE w:val="0"/>
        <w:autoSpaceDN w:val="0"/>
        <w:adjustRightInd w:val="0"/>
        <w:snapToGrid w:val="0"/>
        <w:spacing w:before="3" w:after="0" w:line="360" w:lineRule="auto"/>
        <w:ind w:left="525" w:right="32" w:hanging="525" w:hangingChars="250"/>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15.2投标人在递交投标文件后，可以撤回其投标，但投标人必须在规定的投标截止时点前以书面形式告知招标采购单位。从投标截止期至投标人承诺的投标有效期内，投标人不得撤回其投标。</w:t>
      </w:r>
    </w:p>
    <w:p>
      <w:pPr>
        <w:widowControl w:val="0"/>
        <w:autoSpaceDE/>
        <w:autoSpaceDN/>
        <w:adjustRightInd w:val="0"/>
        <w:snapToGrid w:val="0"/>
        <w:spacing w:before="0" w:after="0" w:line="360" w:lineRule="auto"/>
        <w:ind w:left="720" w:right="32" w:hanging="72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sz w:val="21"/>
          <w:szCs w:val="21"/>
          <w:highlight w:val="none"/>
          <w:lang w:val="en-US" w:bidi="ar-SA"/>
        </w:rPr>
        <w:t>15</w:t>
      </w:r>
      <w:r>
        <w:rPr>
          <w:rFonts w:hint="eastAsia" w:ascii="宋体" w:hAnsi="宋体" w:eastAsia="宋体" w:cs="宋体"/>
          <w:color w:val="auto"/>
          <w:kern w:val="2"/>
          <w:sz w:val="21"/>
          <w:szCs w:val="21"/>
          <w:highlight w:val="none"/>
          <w:lang w:val="en-US" w:bidi="ar-SA"/>
        </w:rPr>
        <w:t>.3投标人所提交的投标文件在评标结束后，无论中标与否都不退还。</w:t>
      </w:r>
    </w:p>
    <w:p>
      <w:pPr>
        <w:keepNext/>
        <w:keepLines/>
        <w:widowControl w:val="0"/>
        <w:numPr>
          <w:ilvl w:val="1"/>
          <w:numId w:val="0"/>
        </w:numPr>
        <w:tabs>
          <w:tab w:val="left" w:pos="567"/>
        </w:tabs>
        <w:autoSpaceDE/>
        <w:autoSpaceDN/>
        <w:spacing w:before="40" w:after="40" w:line="360" w:lineRule="auto"/>
        <w:ind w:left="0" w:right="0"/>
        <w:jc w:val="both"/>
        <w:rPr>
          <w:rFonts w:hint="eastAsia" w:ascii="宋体" w:hAnsi="宋体" w:eastAsia="宋体" w:cs="宋体"/>
          <w:b/>
          <w:bCs/>
          <w:color w:val="auto"/>
          <w:kern w:val="2"/>
          <w:sz w:val="21"/>
          <w:szCs w:val="21"/>
          <w:highlight w:val="none"/>
          <w:lang w:val="en-US" w:bidi="ar-SA"/>
        </w:rPr>
      </w:pPr>
      <w:bookmarkStart w:id="108" w:name="_Toc453844595"/>
      <w:bookmarkStart w:id="109" w:name="_Toc435345620"/>
      <w:bookmarkStart w:id="110" w:name="_Toc259090957"/>
      <w:bookmarkStart w:id="111" w:name="_Toc11608"/>
      <w:r>
        <w:rPr>
          <w:rFonts w:hint="eastAsia" w:ascii="宋体" w:hAnsi="宋体" w:eastAsia="宋体" w:cs="宋体"/>
          <w:b/>
          <w:bCs/>
          <w:color w:val="auto"/>
          <w:kern w:val="2"/>
          <w:sz w:val="21"/>
          <w:szCs w:val="21"/>
          <w:highlight w:val="none"/>
          <w:lang w:val="en-US" w:bidi="ar-SA"/>
        </w:rPr>
        <w:t>五、开标、评标、定标</w:t>
      </w:r>
      <w:bookmarkEnd w:id="108"/>
      <w:bookmarkEnd w:id="109"/>
      <w:bookmarkEnd w:id="110"/>
      <w:bookmarkEnd w:id="111"/>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12" w:name="_Toc453844596"/>
      <w:bookmarkStart w:id="113" w:name="_Toc259090958"/>
      <w:bookmarkStart w:id="114" w:name="_Toc435345621"/>
      <w:r>
        <w:rPr>
          <w:rFonts w:hint="eastAsia" w:ascii="宋体" w:hAnsi="宋体" w:eastAsia="宋体" w:cs="宋体"/>
          <w:b/>
          <w:bCs/>
          <w:color w:val="auto"/>
          <w:kern w:val="2"/>
          <w:sz w:val="21"/>
          <w:szCs w:val="21"/>
          <w:highlight w:val="none"/>
          <w:lang w:val="en-US" w:bidi="ar-SA"/>
        </w:rPr>
        <w:t>17．开标</w:t>
      </w:r>
      <w:bookmarkEnd w:id="112"/>
      <w:bookmarkEnd w:id="113"/>
      <w:bookmarkEnd w:id="114"/>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16.1招标采购单位在《投标人须知前附表》中规定的日期、时间和地点组织公开开标。开标时原则上应当有采购人代表和投标人代表参加，投标人代表因自身原因未参加开标会议的，视同认可开标结果。参加开标的代表应签到以证明其出席。</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16.2开标时，采购人邀请投标人对自己提交的投标文件的密封情况进行检查，当参加投标的投标人较多时，也可以由前三名递交投标文件的投标人被授权代表作为全体投标人推选的代表就全部投标文件的密封情况进行检查，经确认无误后由招标工作人员当众拆封。招标工作人员宣读投标人名称、投标价格、价格折扣、投标文件的其他主要内容和招标文件允许提供的备选投标方案。</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16.3招标采购单位做好开标记录，开标记录由各投标人代表签字确认；如开标记录表内容与投标文件不一致，或者投标人对开标有异议的，投标人代表须当场提出。</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15" w:name="_Toc453844597"/>
      <w:bookmarkStart w:id="116" w:name="_Toc435345622"/>
      <w:bookmarkStart w:id="117" w:name="_Toc259090959"/>
      <w:r>
        <w:rPr>
          <w:rFonts w:hint="eastAsia" w:ascii="宋体" w:hAnsi="宋体" w:eastAsia="宋体" w:cs="宋体"/>
          <w:b/>
          <w:bCs/>
          <w:color w:val="auto"/>
          <w:kern w:val="2"/>
          <w:sz w:val="21"/>
          <w:szCs w:val="21"/>
          <w:highlight w:val="none"/>
          <w:lang w:val="en-US" w:bidi="ar-SA"/>
        </w:rPr>
        <w:t>17．评标委员会</w:t>
      </w:r>
      <w:bookmarkEnd w:id="115"/>
      <w:bookmarkEnd w:id="116"/>
      <w:bookmarkEnd w:id="117"/>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17.1 评标由招标采购单位依照招标文件的规定，组建的评标委员会负责。评标委员会成员由采购人代表和技术、经济等方面的评审专家组成，采购人代表人数、专家人数及专业构成按招标文件规定确定。评标委员会成员依法从采购人的专家库中随机抽取。</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18" w:name="_Toc453844598"/>
      <w:bookmarkStart w:id="119" w:name="_Toc435345623"/>
      <w:bookmarkStart w:id="120" w:name="_Toc259090960"/>
      <w:r>
        <w:rPr>
          <w:rFonts w:hint="eastAsia" w:ascii="宋体" w:hAnsi="宋体" w:eastAsia="宋体" w:cs="宋体"/>
          <w:b/>
          <w:bCs/>
          <w:color w:val="auto"/>
          <w:kern w:val="2"/>
          <w:sz w:val="21"/>
          <w:szCs w:val="21"/>
          <w:highlight w:val="none"/>
          <w:lang w:val="en-US" w:bidi="ar-SA"/>
        </w:rPr>
        <w:t>18．评标程序</w:t>
      </w:r>
      <w:bookmarkEnd w:id="118"/>
      <w:bookmarkEnd w:id="119"/>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18.1投标文件初步审查（初审）。初步审查分为资格审查和符合性审查。</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18.1.1资格审查。依据法律法规和招标文件的规定，采购人或采购代理机构对投标文件中的资格证明等进行审查，以确定投标人是否具备投标资格。</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18.1.2符合性审查。依据招标文件的规定，从投标文件的有效性、完整性和对招标文件的响应程度进行审查，以确定是否对招标文件的实质性要求作出响应。</w:t>
      </w:r>
    </w:p>
    <w:p>
      <w:pPr>
        <w:widowControl w:val="0"/>
        <w:tabs>
          <w:tab w:val="left" w:pos="8280"/>
        </w:tabs>
        <w:autoSpaceDE w:val="0"/>
        <w:autoSpaceDN w:val="0"/>
        <w:adjustRightInd w:val="0"/>
        <w:snapToGrid w:val="0"/>
        <w:spacing w:before="0" w:after="0" w:line="360" w:lineRule="auto"/>
        <w:ind w:left="473" w:right="32"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18.1.3在投标文件初审过程中，评标委员会要审查每份投标文件是否实质上响应了招标文件的要求。实质上响应的投标文件应该是与招标文件要求的关键条款、条件和规格相符没有实质偏离的投标文件。评标委员会决定投标文件的响应程度只依据投标文件本身内容，而不依据或者寻求任何外部的证据。</w:t>
      </w:r>
    </w:p>
    <w:p>
      <w:pPr>
        <w:widowControl w:val="0"/>
        <w:tabs>
          <w:tab w:val="left" w:pos="8280"/>
        </w:tabs>
        <w:autoSpaceDE w:val="0"/>
        <w:autoSpaceDN w:val="0"/>
        <w:adjustRightInd w:val="0"/>
        <w:snapToGrid w:val="0"/>
        <w:spacing w:before="0" w:after="0" w:line="360" w:lineRule="auto"/>
        <w:ind w:left="473" w:right="32"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18.1.4 实质上没有响应招标文件要求的投标将被视为无效投标。投标人不得通过修正或者撤销不合要求的偏离从而使其投标文件成为实质上响应的投标。</w:t>
      </w:r>
    </w:p>
    <w:p>
      <w:pPr>
        <w:widowControl w:val="0"/>
        <w:autoSpaceDE w:val="0"/>
        <w:autoSpaceDN w:val="0"/>
        <w:adjustRightInd w:val="0"/>
        <w:snapToGrid w:val="0"/>
        <w:spacing w:before="0" w:after="0" w:line="360" w:lineRule="auto"/>
        <w:ind w:left="540" w:right="32" w:hanging="539" w:hangingChars="257"/>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18.1.5 在投标文件初审过程中，如发现《投标人须知前附表》所列情形之一的，投标文件将确定为无效投标。</w:t>
      </w:r>
    </w:p>
    <w:p>
      <w:pPr>
        <w:widowControl w:val="0"/>
        <w:autoSpaceDE w:val="0"/>
        <w:autoSpaceDN w:val="0"/>
        <w:adjustRightInd w:val="0"/>
        <w:snapToGrid w:val="0"/>
        <w:spacing w:before="0" w:after="0" w:line="360" w:lineRule="auto"/>
        <w:ind w:left="540" w:right="32" w:hanging="539" w:hangingChars="257"/>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18.1.6对各投标人进行资格性和符合性审查过程中，对初步被认定为初审不合格或者无效投标者应实行及时告知投标当事人，以让其核证、澄清事实。</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18.2澄清有关问题。</w:t>
      </w:r>
    </w:p>
    <w:p>
      <w:pPr>
        <w:widowControl w:val="0"/>
        <w:autoSpaceDE/>
        <w:autoSpaceDN/>
        <w:spacing w:before="0" w:after="0" w:line="360" w:lineRule="auto"/>
        <w:ind w:left="600" w:right="0" w:hanging="600"/>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18.2.1对投标文件中含义不明确、同类问题表述不一致或者有明显文字和计算错误的内容，评标委员会可以书面形式（应当由评标委员会专家签字）要求投标人作出必要的澄清、说明或者纠正。投标人的澄清、说明或者补正应当采用书面形式，由其被授权代表签字，但不得超出投标文件的范围或者改变投标文件的实质性内容。</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w:t>
      </w:r>
      <w:r>
        <w:rPr>
          <w:rFonts w:hint="eastAsia" w:ascii="宋体" w:hAnsi="宋体" w:eastAsia="宋体" w:cs="宋体"/>
          <w:color w:val="auto"/>
          <w:kern w:val="2"/>
          <w:sz w:val="21"/>
          <w:szCs w:val="21"/>
          <w:highlight w:val="none"/>
          <w:lang w:val="en-US" w:bidi="ar-SA"/>
        </w:rPr>
        <w:t>.2.2 投标人的澄清文件是其投标文件的组成部分。</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18.3比较与评价。按招标文件《投标人须知前附表》规定的评标方法和标准，对资格审查和符合性审查合格的投标文件进行商务和技术评估，综合比较与评价。</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18.4按照《投标人须知前附表》所列数量推荐中标候选人名单。</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18.5评标委员会认为（招标文件中存在含义不明确或者表述不一致的内容）需要采购人对招标文件条款进行澄清的，可以要求招标采购单位进行澄清，澄清不得背离招标文件的实质内容（不得超出招标文件的范围或者改变招标文件的真实意思表示）。</w:t>
      </w:r>
    </w:p>
    <w:p>
      <w:pPr>
        <w:widowControl w:val="0"/>
        <w:autoSpaceDE/>
        <w:autoSpaceDN/>
        <w:adjustRightInd w:val="0"/>
        <w:snapToGrid w:val="0"/>
        <w:spacing w:before="0" w:after="0" w:line="360" w:lineRule="auto"/>
        <w:ind w:left="474" w:leftChars="1"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18.6在评标过程中，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bookmarkEnd w:id="120"/>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21" w:name="_Toc259090963"/>
      <w:bookmarkStart w:id="122" w:name="_Toc453844599"/>
      <w:bookmarkStart w:id="123" w:name="_Toc435345624"/>
      <w:r>
        <w:rPr>
          <w:rFonts w:hint="eastAsia" w:ascii="宋体" w:hAnsi="宋体" w:eastAsia="宋体" w:cs="宋体"/>
          <w:b/>
          <w:bCs/>
          <w:color w:val="auto"/>
          <w:kern w:val="2"/>
          <w:sz w:val="21"/>
          <w:szCs w:val="21"/>
          <w:highlight w:val="none"/>
          <w:lang w:val="en-US" w:bidi="ar-SA"/>
        </w:rPr>
        <w:t>19．定标</w:t>
      </w:r>
      <w:bookmarkEnd w:id="121"/>
      <w:bookmarkEnd w:id="122"/>
      <w:bookmarkEnd w:id="123"/>
    </w:p>
    <w:p>
      <w:pPr>
        <w:widowControl w:val="0"/>
        <w:autoSpaceDE w:val="0"/>
        <w:autoSpaceDN w:val="0"/>
        <w:adjustRightInd w:val="0"/>
        <w:snapToGrid w:val="0"/>
        <w:spacing w:before="0" w:after="0" w:line="360" w:lineRule="auto"/>
        <w:ind w:left="525" w:right="32" w:hanging="525" w:hangingChars="250"/>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19.1定标程序。采购人在收到评标报告后五个工作日内，按照评标报告中推荐的中标候选人顺序确定中标人；也可以授权评标委员会直接确定中标人。具体见《投标人须知前附表》。</w:t>
      </w:r>
    </w:p>
    <w:p>
      <w:pPr>
        <w:widowControl w:val="0"/>
        <w:autoSpaceDE w:val="0"/>
        <w:autoSpaceDN w:val="0"/>
        <w:adjustRightInd w:val="0"/>
        <w:snapToGrid w:val="0"/>
        <w:spacing w:before="0" w:after="0" w:line="360" w:lineRule="auto"/>
        <w:ind w:left="525" w:right="32" w:hanging="525" w:hangingChars="250"/>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19.2 中标人确定后，招标采购单位将在招标文件指定的媒体上发布中标结果公告，并向中标人发出《中标通知书》，《中标通知书》对中标人和采购人具有同等法律效力。</w:t>
      </w:r>
    </w:p>
    <w:p>
      <w:pPr>
        <w:widowControl w:val="0"/>
        <w:autoSpaceDE w:val="0"/>
        <w:autoSpaceDN w:val="0"/>
        <w:adjustRightInd w:val="0"/>
        <w:snapToGrid w:val="0"/>
        <w:spacing w:before="0" w:after="0" w:line="360" w:lineRule="auto"/>
        <w:ind w:left="525" w:right="32" w:hanging="525" w:hangingChars="250"/>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19.3 中标结果公告的公告期限为1个工作日，结果公告同时作为采购人通知除中标人外的其他投标人没有中标的书面形式，采购人不再以其他形式另行通知。</w:t>
      </w:r>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24" w:name="_Toc435345625"/>
      <w:bookmarkStart w:id="125" w:name="_Toc453844600"/>
      <w:bookmarkStart w:id="126" w:name="_Toc259090964"/>
      <w:r>
        <w:rPr>
          <w:rFonts w:hint="eastAsia" w:ascii="宋体" w:hAnsi="宋体" w:eastAsia="宋体" w:cs="宋体"/>
          <w:b/>
          <w:bCs/>
          <w:color w:val="auto"/>
          <w:kern w:val="2"/>
          <w:sz w:val="21"/>
          <w:szCs w:val="21"/>
          <w:highlight w:val="none"/>
          <w:lang w:val="en-US" w:bidi="ar-SA"/>
        </w:rPr>
        <w:t>20．替补候选人的设定与使用</w:t>
      </w:r>
      <w:bookmarkEnd w:id="124"/>
      <w:bookmarkEnd w:id="125"/>
      <w:bookmarkEnd w:id="126"/>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27" w:name="_Toc259090965"/>
      <w:bookmarkStart w:id="128" w:name="_Toc42923365"/>
      <w:bookmarkStart w:id="129" w:name="_Toc435345626"/>
      <w:bookmarkStart w:id="130" w:name="_Toc453844601"/>
      <w:bookmarkStart w:id="131" w:name="_Toc222823305"/>
      <w:bookmarkStart w:id="132" w:name="_Toc230597979"/>
      <w:r>
        <w:rPr>
          <w:rFonts w:hint="eastAsia" w:ascii="宋体" w:hAnsi="宋体" w:eastAsia="宋体" w:cs="宋体"/>
          <w:color w:val="auto"/>
          <w:sz w:val="21"/>
          <w:szCs w:val="21"/>
          <w:highlight w:val="none"/>
          <w:lang w:val="en-US" w:bidi="ar-SA"/>
        </w:rPr>
        <w:t>20.1 中标人因不可抗力或者自身原因不能履行采购合同的，采购人可以与排位在中标人之后第一位的中标候选人签订采购合同（以此类推，但中标资格只顺延给中标候选人），或者重新组织招标。</w:t>
      </w:r>
      <w:r>
        <w:rPr>
          <w:rFonts w:hint="eastAsia" w:ascii="宋体" w:hAnsi="宋体" w:eastAsia="宋体" w:cs="宋体"/>
          <w:b/>
          <w:bCs/>
          <w:color w:val="auto"/>
          <w:kern w:val="2"/>
          <w:sz w:val="21"/>
          <w:szCs w:val="21"/>
          <w:highlight w:val="none"/>
          <w:lang w:val="en-US" w:bidi="ar-SA"/>
        </w:rPr>
        <w:t>21．评标注意事项</w:t>
      </w:r>
      <w:bookmarkEnd w:id="127"/>
      <w:bookmarkEnd w:id="128"/>
      <w:bookmarkEnd w:id="129"/>
      <w:bookmarkEnd w:id="130"/>
      <w:bookmarkEnd w:id="131"/>
      <w:bookmarkEnd w:id="132"/>
    </w:p>
    <w:p>
      <w:pPr>
        <w:widowControl w:val="0"/>
        <w:tabs>
          <w:tab w:val="left" w:pos="0"/>
          <w:tab w:val="left" w:pos="7740"/>
        </w:tabs>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12.1评委会除主动要求询标外，从开标后至发出《中标通知书》期间，任何投标人均不得就与其投标有关的任何问题与采购人及评标委员会联系。</w:t>
      </w:r>
    </w:p>
    <w:p>
      <w:pPr>
        <w:widowControl w:val="0"/>
        <w:tabs>
          <w:tab w:val="left" w:pos="0"/>
          <w:tab w:val="left" w:pos="7740"/>
        </w:tabs>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21.2为保证采购活动的公正性，除本须知20.2的规定外，在开标、评标过程中，评标委员会成员不得与投标人私下交换意见。在招标工作结束后，评标委员会成员和参与评标的有关工作人员不得泄漏对投标文件的评审和比较以及与评标有关的其他情况。</w:t>
      </w:r>
    </w:p>
    <w:p>
      <w:pPr>
        <w:keepNext/>
        <w:keepLines/>
        <w:widowControl w:val="0"/>
        <w:numPr>
          <w:ilvl w:val="1"/>
          <w:numId w:val="0"/>
        </w:numPr>
        <w:tabs>
          <w:tab w:val="left" w:pos="567"/>
        </w:tabs>
        <w:autoSpaceDE/>
        <w:autoSpaceDN/>
        <w:spacing w:before="40" w:after="40" w:line="360" w:lineRule="auto"/>
        <w:ind w:left="0" w:right="0"/>
        <w:jc w:val="both"/>
        <w:rPr>
          <w:rFonts w:hint="eastAsia" w:ascii="宋体" w:hAnsi="宋体" w:eastAsia="宋体" w:cs="宋体"/>
          <w:b/>
          <w:bCs/>
          <w:color w:val="auto"/>
          <w:kern w:val="2"/>
          <w:sz w:val="21"/>
          <w:szCs w:val="21"/>
          <w:highlight w:val="none"/>
          <w:lang w:val="en-US" w:bidi="ar-SA"/>
        </w:rPr>
      </w:pPr>
      <w:bookmarkStart w:id="133" w:name="_Toc453844603"/>
      <w:bookmarkStart w:id="134" w:name="_Toc21441"/>
      <w:bookmarkStart w:id="135" w:name="_Toc259090966"/>
      <w:bookmarkStart w:id="136" w:name="_Toc435345628"/>
      <w:r>
        <w:rPr>
          <w:rFonts w:hint="eastAsia" w:ascii="宋体" w:hAnsi="宋体" w:eastAsia="宋体" w:cs="宋体"/>
          <w:b/>
          <w:bCs/>
          <w:color w:val="auto"/>
          <w:kern w:val="2"/>
          <w:sz w:val="21"/>
          <w:szCs w:val="21"/>
          <w:highlight w:val="none"/>
          <w:lang w:val="en-US" w:bidi="ar-SA"/>
        </w:rPr>
        <w:t>六、合同的订立和履行</w:t>
      </w:r>
      <w:bookmarkEnd w:id="133"/>
      <w:bookmarkEnd w:id="134"/>
      <w:bookmarkEnd w:id="135"/>
      <w:bookmarkEnd w:id="136"/>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37" w:name="_Toc435345629"/>
      <w:bookmarkStart w:id="138" w:name="_Toc259090967"/>
      <w:bookmarkStart w:id="139" w:name="_Toc453844604"/>
      <w:r>
        <w:rPr>
          <w:rFonts w:hint="eastAsia" w:ascii="宋体" w:hAnsi="宋体" w:eastAsia="宋体" w:cs="宋体"/>
          <w:b/>
          <w:bCs/>
          <w:color w:val="auto"/>
          <w:kern w:val="2"/>
          <w:sz w:val="21"/>
          <w:szCs w:val="21"/>
          <w:highlight w:val="none"/>
          <w:lang w:val="en-US" w:bidi="ar-SA"/>
        </w:rPr>
        <w:t>22．合同的订立</w:t>
      </w:r>
      <w:bookmarkEnd w:id="137"/>
      <w:bookmarkEnd w:id="138"/>
      <w:bookmarkEnd w:id="139"/>
    </w:p>
    <w:p>
      <w:pPr>
        <w:widowControl w:val="0"/>
        <w:autoSpaceDE/>
        <w:autoSpaceDN/>
        <w:spacing w:before="0" w:after="0" w:line="360" w:lineRule="auto"/>
        <w:ind w:left="525" w:right="0" w:hanging="525" w:hangingChars="250"/>
        <w:jc w:val="both"/>
        <w:rPr>
          <w:rFonts w:hint="eastAsia" w:ascii="宋体" w:hAnsi="宋体" w:eastAsia="宋体" w:cs="宋体"/>
          <w:color w:val="auto"/>
          <w:sz w:val="21"/>
          <w:szCs w:val="21"/>
          <w:highlight w:val="none"/>
          <w:lang w:val="en-US" w:bidi="ar-SA"/>
        </w:rPr>
      </w:pPr>
      <w:bookmarkStart w:id="140" w:name="_Toc453844605"/>
      <w:bookmarkStart w:id="141" w:name="_Toc435345630"/>
      <w:bookmarkStart w:id="142" w:name="_Toc259090968"/>
      <w:r>
        <w:rPr>
          <w:rFonts w:hint="eastAsia" w:ascii="宋体" w:hAnsi="宋体" w:eastAsia="宋体" w:cs="宋体"/>
          <w:color w:val="auto"/>
          <w:sz w:val="21"/>
          <w:szCs w:val="21"/>
          <w:highlight w:val="none"/>
          <w:lang w:val="en-US" w:bidi="ar-SA"/>
        </w:rPr>
        <w:t>22.1 采购人与中标人自中标通知书发出之日起三十日内，按招标文件要求和中标人投标文件承诺签订采购合同，但不得超出招标文件和中标人投标文件的范围、也不得再行订立背离合同实质性内容的其他协议。</w:t>
      </w:r>
    </w:p>
    <w:bookmarkEnd w:id="140"/>
    <w:bookmarkEnd w:id="141"/>
    <w:bookmarkEnd w:id="142"/>
    <w:p>
      <w:pPr>
        <w:keepNext/>
        <w:keepLines/>
        <w:widowControl w:val="0"/>
        <w:numPr>
          <w:ilvl w:val="1"/>
          <w:numId w:val="0"/>
        </w:numPr>
        <w:tabs>
          <w:tab w:val="left" w:pos="567"/>
        </w:tabs>
        <w:autoSpaceDE/>
        <w:autoSpaceDN/>
        <w:spacing w:before="40" w:after="40" w:line="360" w:lineRule="auto"/>
        <w:ind w:left="0" w:right="0"/>
        <w:jc w:val="both"/>
        <w:rPr>
          <w:rFonts w:hint="eastAsia" w:ascii="宋体" w:hAnsi="宋体" w:eastAsia="宋体" w:cs="宋体"/>
          <w:b/>
          <w:bCs/>
          <w:color w:val="auto"/>
          <w:kern w:val="2"/>
          <w:sz w:val="21"/>
          <w:szCs w:val="21"/>
          <w:highlight w:val="none"/>
          <w:lang w:val="en-US" w:bidi="ar-SA"/>
        </w:rPr>
      </w:pPr>
      <w:bookmarkStart w:id="143" w:name="_Toc453844606"/>
      <w:bookmarkStart w:id="144" w:name="_Toc32378"/>
      <w:bookmarkStart w:id="145" w:name="_Toc259090969"/>
      <w:bookmarkStart w:id="146" w:name="_Toc435345631"/>
      <w:r>
        <w:rPr>
          <w:rFonts w:hint="eastAsia" w:ascii="宋体" w:hAnsi="宋体" w:eastAsia="宋体" w:cs="宋体"/>
          <w:b/>
          <w:bCs/>
          <w:color w:val="auto"/>
          <w:kern w:val="2"/>
          <w:sz w:val="21"/>
          <w:szCs w:val="21"/>
          <w:highlight w:val="none"/>
          <w:lang w:val="en-US" w:bidi="ar-SA"/>
        </w:rPr>
        <w:t>七、质疑</w:t>
      </w:r>
      <w:bookmarkEnd w:id="143"/>
      <w:bookmarkEnd w:id="144"/>
      <w:bookmarkEnd w:id="145"/>
      <w:bookmarkEnd w:id="146"/>
    </w:p>
    <w:p>
      <w:pPr>
        <w:keepNext/>
        <w:keepLines/>
        <w:widowControl w:val="0"/>
        <w:numPr>
          <w:ilvl w:val="2"/>
          <w:numId w:val="0"/>
        </w:numPr>
        <w:tabs>
          <w:tab w:val="left" w:pos="709"/>
        </w:tabs>
        <w:autoSpaceDE/>
        <w:autoSpaceDN/>
        <w:spacing w:before="100" w:after="0" w:line="360" w:lineRule="auto"/>
        <w:ind w:left="0" w:right="0"/>
        <w:jc w:val="both"/>
        <w:rPr>
          <w:rFonts w:hint="eastAsia" w:ascii="宋体" w:hAnsi="宋体" w:eastAsia="宋体" w:cs="宋体"/>
          <w:b/>
          <w:bCs/>
          <w:color w:val="auto"/>
          <w:kern w:val="2"/>
          <w:sz w:val="21"/>
          <w:szCs w:val="21"/>
          <w:highlight w:val="none"/>
          <w:lang w:val="en-US" w:bidi="ar-SA"/>
        </w:rPr>
      </w:pPr>
      <w:bookmarkStart w:id="147" w:name="_Toc453844607"/>
      <w:bookmarkStart w:id="148" w:name="_Toc259090970"/>
      <w:bookmarkStart w:id="149" w:name="_Toc435345632"/>
      <w:r>
        <w:rPr>
          <w:rFonts w:hint="eastAsia" w:ascii="宋体" w:hAnsi="宋体" w:eastAsia="宋体" w:cs="宋体"/>
          <w:b/>
          <w:bCs/>
          <w:color w:val="auto"/>
          <w:kern w:val="2"/>
          <w:sz w:val="21"/>
          <w:szCs w:val="21"/>
          <w:highlight w:val="none"/>
          <w:lang w:val="en-US" w:bidi="ar-SA"/>
        </w:rPr>
        <w:t>23.质疑</w:t>
      </w:r>
      <w:bookmarkEnd w:id="147"/>
      <w:bookmarkEnd w:id="148"/>
      <w:bookmarkEnd w:id="149"/>
    </w:p>
    <w:p>
      <w:pPr>
        <w:widowControl w:val="0"/>
        <w:tabs>
          <w:tab w:val="left" w:pos="0"/>
        </w:tabs>
        <w:autoSpaceDE/>
        <w:autoSpaceDN/>
        <w:adjustRightInd w:val="0"/>
        <w:snapToGrid w:val="0"/>
        <w:spacing w:before="0" w:after="0" w:line="360" w:lineRule="auto"/>
        <w:ind w:left="473" w:right="0" w:hanging="472" w:hangingChars="225"/>
        <w:jc w:val="both"/>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lang w:val="en-US" w:bidi="ar-SA"/>
        </w:rPr>
        <w:t>23.1如投标人认为本招标文件中存在“不合理的条件对投标人实行差别待遇或者歧视待遇”，或者对其他任何条款有异议，应当在获取招标文件或者招标文件公告期限届满之日起7个工作日内提出（投标人在法定质疑期内须一次性提出针对同一采购程序环节的质疑，针对同一采购程序环节提出的多次质疑将不予受理），否则视为无异议，采购人或采购代理机构将不再受理此后对招标文件的任何异议。接收质疑函的方式：书面形式。</w:t>
      </w:r>
    </w:p>
    <w:p>
      <w:pPr>
        <w:widowControl w:val="0"/>
        <w:ind w:left="0" w:leftChars="0" w:firstLine="0" w:firstLineChars="0"/>
        <w:jc w:val="both"/>
        <w:rPr>
          <w:rFonts w:hint="eastAsia" w:ascii="宋体" w:hAnsi="宋体" w:eastAsia="宋体" w:cs="宋体"/>
          <w:b/>
          <w:kern w:val="28"/>
          <w:sz w:val="36"/>
          <w:szCs w:val="36"/>
          <w:lang w:val="en-US" w:eastAsia="zh-CN"/>
        </w:rPr>
      </w:pPr>
    </w:p>
    <w:sectPr>
      <w:pgSz w:w="11906" w:h="16838"/>
      <w:pgMar w:top="1434" w:right="1474" w:bottom="143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ascii="Times New Roman" w:hAnsi="Times New Roman" w:cs="Times New Roman" w:eastAsiaTheme="minorEastAsia"/>
                              <w:sz w:val="21"/>
                              <w:szCs w:val="21"/>
                              <w:lang w:eastAsia="zh-CN"/>
                            </w:rPr>
                          </w:pPr>
                          <w:r>
                            <w:rPr>
                              <w:rFonts w:hint="default" w:ascii="Times New Roman" w:hAnsi="Times New Roman" w:cs="Times New Roman" w:eastAsiaTheme="minorEastAsia"/>
                              <w:sz w:val="21"/>
                              <w:szCs w:val="21"/>
                              <w:lang w:eastAsia="zh-CN"/>
                            </w:rPr>
                            <w:fldChar w:fldCharType="begin"/>
                          </w:r>
                          <w:r>
                            <w:rPr>
                              <w:rFonts w:hint="default" w:ascii="Times New Roman" w:hAnsi="Times New Roman" w:cs="Times New Roman" w:eastAsiaTheme="minorEastAsia"/>
                              <w:sz w:val="21"/>
                              <w:szCs w:val="21"/>
                              <w:lang w:eastAsia="zh-CN"/>
                            </w:rPr>
                            <w:instrText xml:space="preserve"> PAGE  \* MERGEFORMAT </w:instrText>
                          </w:r>
                          <w:r>
                            <w:rPr>
                              <w:rFonts w:hint="default" w:ascii="Times New Roman" w:hAnsi="Times New Roman" w:cs="Times New Roman" w:eastAsiaTheme="minorEastAsia"/>
                              <w:sz w:val="21"/>
                              <w:szCs w:val="21"/>
                              <w:lang w:eastAsia="zh-CN"/>
                            </w:rPr>
                            <w:fldChar w:fldCharType="separate"/>
                          </w:r>
                          <w:r>
                            <w:rPr>
                              <w:rFonts w:hint="default" w:ascii="Times New Roman" w:hAnsi="Times New Roman" w:cs="Times New Roman" w:eastAsiaTheme="minorEastAsia"/>
                              <w:sz w:val="21"/>
                              <w:szCs w:val="21"/>
                              <w:lang w:eastAsia="zh-CN"/>
                            </w:rPr>
                            <w:t>1</w:t>
                          </w:r>
                          <w:r>
                            <w:rPr>
                              <w:rFonts w:hint="default" w:ascii="Times New Roman" w:hAnsi="Times New Roman" w:cs="Times New Roman" w:eastAsiaTheme="minorEastAsia"/>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default" w:ascii="Times New Roman" w:hAnsi="Times New Roman" w:cs="Times New Roman" w:eastAsiaTheme="minorEastAsia"/>
                        <w:sz w:val="21"/>
                        <w:szCs w:val="21"/>
                        <w:lang w:eastAsia="zh-CN"/>
                      </w:rPr>
                    </w:pPr>
                    <w:r>
                      <w:rPr>
                        <w:rFonts w:hint="default" w:ascii="Times New Roman" w:hAnsi="Times New Roman" w:cs="Times New Roman" w:eastAsiaTheme="minorEastAsia"/>
                        <w:sz w:val="21"/>
                        <w:szCs w:val="21"/>
                        <w:lang w:eastAsia="zh-CN"/>
                      </w:rPr>
                      <w:fldChar w:fldCharType="begin"/>
                    </w:r>
                    <w:r>
                      <w:rPr>
                        <w:rFonts w:hint="default" w:ascii="Times New Roman" w:hAnsi="Times New Roman" w:cs="Times New Roman" w:eastAsiaTheme="minorEastAsia"/>
                        <w:sz w:val="21"/>
                        <w:szCs w:val="21"/>
                        <w:lang w:eastAsia="zh-CN"/>
                      </w:rPr>
                      <w:instrText xml:space="preserve"> PAGE  \* MERGEFORMAT </w:instrText>
                    </w:r>
                    <w:r>
                      <w:rPr>
                        <w:rFonts w:hint="default" w:ascii="Times New Roman" w:hAnsi="Times New Roman" w:cs="Times New Roman" w:eastAsiaTheme="minorEastAsia"/>
                        <w:sz w:val="21"/>
                        <w:szCs w:val="21"/>
                        <w:lang w:eastAsia="zh-CN"/>
                      </w:rPr>
                      <w:fldChar w:fldCharType="separate"/>
                    </w:r>
                    <w:r>
                      <w:rPr>
                        <w:rFonts w:hint="default" w:ascii="Times New Roman" w:hAnsi="Times New Roman" w:cs="Times New Roman" w:eastAsiaTheme="minorEastAsia"/>
                        <w:sz w:val="21"/>
                        <w:szCs w:val="21"/>
                        <w:lang w:eastAsia="zh-CN"/>
                      </w:rPr>
                      <w:t>1</w:t>
                    </w:r>
                    <w:r>
                      <w:rPr>
                        <w:rFonts w:hint="default" w:ascii="Times New Roman" w:hAnsi="Times New Roman" w:cs="Times New Roman" w:eastAsiaTheme="minorEastAsia"/>
                        <w:sz w:val="21"/>
                        <w:szCs w:val="21"/>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bullet"/>
      <w:pStyle w:val="34"/>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1">
    <w:nsid w:val="244F8B2D"/>
    <w:multiLevelType w:val="singleLevel"/>
    <w:tmpl w:val="244F8B2D"/>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FF39E6"/>
    <w:rsid w:val="01063563"/>
    <w:rsid w:val="01265BCF"/>
    <w:rsid w:val="0156352C"/>
    <w:rsid w:val="0300386E"/>
    <w:rsid w:val="03261EB9"/>
    <w:rsid w:val="03FA2051"/>
    <w:rsid w:val="04012637"/>
    <w:rsid w:val="040A7A68"/>
    <w:rsid w:val="04217649"/>
    <w:rsid w:val="05560FAF"/>
    <w:rsid w:val="057B0AD9"/>
    <w:rsid w:val="05FB4912"/>
    <w:rsid w:val="06792BD0"/>
    <w:rsid w:val="073343FB"/>
    <w:rsid w:val="07BE1C5C"/>
    <w:rsid w:val="086C231A"/>
    <w:rsid w:val="087551A1"/>
    <w:rsid w:val="08A93177"/>
    <w:rsid w:val="08D77C06"/>
    <w:rsid w:val="091701C6"/>
    <w:rsid w:val="09F157E9"/>
    <w:rsid w:val="0A42513C"/>
    <w:rsid w:val="0A5B080C"/>
    <w:rsid w:val="0AC7367C"/>
    <w:rsid w:val="0ADA6A52"/>
    <w:rsid w:val="0AEC62F5"/>
    <w:rsid w:val="0BB569AB"/>
    <w:rsid w:val="0CD24661"/>
    <w:rsid w:val="0D3C5E6E"/>
    <w:rsid w:val="0E07567B"/>
    <w:rsid w:val="0F4F30DB"/>
    <w:rsid w:val="0FE30C1D"/>
    <w:rsid w:val="101958FA"/>
    <w:rsid w:val="11483D68"/>
    <w:rsid w:val="114A40C9"/>
    <w:rsid w:val="1167027B"/>
    <w:rsid w:val="11B36778"/>
    <w:rsid w:val="11E4614E"/>
    <w:rsid w:val="12107ECD"/>
    <w:rsid w:val="123D4211"/>
    <w:rsid w:val="12E110C3"/>
    <w:rsid w:val="13DE4636"/>
    <w:rsid w:val="14145920"/>
    <w:rsid w:val="14265824"/>
    <w:rsid w:val="146E1044"/>
    <w:rsid w:val="14751D21"/>
    <w:rsid w:val="14AF1479"/>
    <w:rsid w:val="14CD2110"/>
    <w:rsid w:val="14FC3F92"/>
    <w:rsid w:val="16E42F30"/>
    <w:rsid w:val="1703454E"/>
    <w:rsid w:val="17976EC2"/>
    <w:rsid w:val="18976382"/>
    <w:rsid w:val="18D943D6"/>
    <w:rsid w:val="19782558"/>
    <w:rsid w:val="1A323AC2"/>
    <w:rsid w:val="1A496A08"/>
    <w:rsid w:val="1B823990"/>
    <w:rsid w:val="1C0E5966"/>
    <w:rsid w:val="1C3C6574"/>
    <w:rsid w:val="1C780A39"/>
    <w:rsid w:val="1DB9205A"/>
    <w:rsid w:val="204042B3"/>
    <w:rsid w:val="20E71C8B"/>
    <w:rsid w:val="20F828F5"/>
    <w:rsid w:val="210C12B4"/>
    <w:rsid w:val="210E7527"/>
    <w:rsid w:val="21CD003A"/>
    <w:rsid w:val="21D40277"/>
    <w:rsid w:val="226E7246"/>
    <w:rsid w:val="22F04025"/>
    <w:rsid w:val="230230BC"/>
    <w:rsid w:val="23A820DF"/>
    <w:rsid w:val="25954206"/>
    <w:rsid w:val="27665270"/>
    <w:rsid w:val="27F44DCB"/>
    <w:rsid w:val="2827226D"/>
    <w:rsid w:val="29155392"/>
    <w:rsid w:val="29AF6870"/>
    <w:rsid w:val="2A6423C2"/>
    <w:rsid w:val="2B170391"/>
    <w:rsid w:val="2BE5357A"/>
    <w:rsid w:val="2D1556A6"/>
    <w:rsid w:val="2F9B5393"/>
    <w:rsid w:val="30260541"/>
    <w:rsid w:val="30DE27BB"/>
    <w:rsid w:val="310351F9"/>
    <w:rsid w:val="314F7CF8"/>
    <w:rsid w:val="31A51B46"/>
    <w:rsid w:val="31BB7D4D"/>
    <w:rsid w:val="31F0133A"/>
    <w:rsid w:val="32652B1A"/>
    <w:rsid w:val="32B463F5"/>
    <w:rsid w:val="32CF2C13"/>
    <w:rsid w:val="32E626D5"/>
    <w:rsid w:val="33DF0240"/>
    <w:rsid w:val="33ED7B40"/>
    <w:rsid w:val="340C10E0"/>
    <w:rsid w:val="34670DAC"/>
    <w:rsid w:val="34937D57"/>
    <w:rsid w:val="351754F0"/>
    <w:rsid w:val="35332931"/>
    <w:rsid w:val="35B70D26"/>
    <w:rsid w:val="360A255B"/>
    <w:rsid w:val="369532C2"/>
    <w:rsid w:val="36DF7544"/>
    <w:rsid w:val="373F0FF4"/>
    <w:rsid w:val="3764089B"/>
    <w:rsid w:val="37C33988"/>
    <w:rsid w:val="37F30BBE"/>
    <w:rsid w:val="3845069F"/>
    <w:rsid w:val="38E85CE9"/>
    <w:rsid w:val="390153BC"/>
    <w:rsid w:val="39DD3AE3"/>
    <w:rsid w:val="3A1436EC"/>
    <w:rsid w:val="3B040FCD"/>
    <w:rsid w:val="3B5E20BE"/>
    <w:rsid w:val="3B9371DB"/>
    <w:rsid w:val="3B9620CF"/>
    <w:rsid w:val="3BF40D85"/>
    <w:rsid w:val="3CAA4150"/>
    <w:rsid w:val="3CBC0FEC"/>
    <w:rsid w:val="3CE34237"/>
    <w:rsid w:val="3DBC20A7"/>
    <w:rsid w:val="3DEC5575"/>
    <w:rsid w:val="3E0131B1"/>
    <w:rsid w:val="3E0C3561"/>
    <w:rsid w:val="3E307815"/>
    <w:rsid w:val="3E661D71"/>
    <w:rsid w:val="3F084100"/>
    <w:rsid w:val="3F9E20A8"/>
    <w:rsid w:val="3FC72DAE"/>
    <w:rsid w:val="3FF55E7C"/>
    <w:rsid w:val="40662CB8"/>
    <w:rsid w:val="40956AB9"/>
    <w:rsid w:val="41675D12"/>
    <w:rsid w:val="41B42F58"/>
    <w:rsid w:val="41B94E3B"/>
    <w:rsid w:val="42286406"/>
    <w:rsid w:val="428B3466"/>
    <w:rsid w:val="430707F9"/>
    <w:rsid w:val="443B3807"/>
    <w:rsid w:val="44696EEF"/>
    <w:rsid w:val="450138B2"/>
    <w:rsid w:val="45173B67"/>
    <w:rsid w:val="45AE4A52"/>
    <w:rsid w:val="45D1463A"/>
    <w:rsid w:val="46E0403D"/>
    <w:rsid w:val="479C74EC"/>
    <w:rsid w:val="47D02F65"/>
    <w:rsid w:val="4814451A"/>
    <w:rsid w:val="48485D3B"/>
    <w:rsid w:val="496A1450"/>
    <w:rsid w:val="4A256485"/>
    <w:rsid w:val="4A6556A8"/>
    <w:rsid w:val="4AC705C3"/>
    <w:rsid w:val="4AC7413B"/>
    <w:rsid w:val="4B0A79B4"/>
    <w:rsid w:val="4B607FF3"/>
    <w:rsid w:val="4BB63C87"/>
    <w:rsid w:val="4BB7606F"/>
    <w:rsid w:val="4BCA4964"/>
    <w:rsid w:val="4C5D554C"/>
    <w:rsid w:val="4CA81067"/>
    <w:rsid w:val="4CB9236D"/>
    <w:rsid w:val="4DE21B39"/>
    <w:rsid w:val="4F071F43"/>
    <w:rsid w:val="5012598F"/>
    <w:rsid w:val="50926F7D"/>
    <w:rsid w:val="50950AEC"/>
    <w:rsid w:val="51521776"/>
    <w:rsid w:val="5154455D"/>
    <w:rsid w:val="518F40CB"/>
    <w:rsid w:val="51A21D1E"/>
    <w:rsid w:val="51BB11A6"/>
    <w:rsid w:val="52E4668A"/>
    <w:rsid w:val="5309094E"/>
    <w:rsid w:val="530C3017"/>
    <w:rsid w:val="537B5AC6"/>
    <w:rsid w:val="539A5026"/>
    <w:rsid w:val="53E0425F"/>
    <w:rsid w:val="541512FB"/>
    <w:rsid w:val="543712F0"/>
    <w:rsid w:val="5557610E"/>
    <w:rsid w:val="574B60D8"/>
    <w:rsid w:val="57766190"/>
    <w:rsid w:val="57D87FF6"/>
    <w:rsid w:val="57DD7189"/>
    <w:rsid w:val="57E87EE6"/>
    <w:rsid w:val="57F8239A"/>
    <w:rsid w:val="592F4040"/>
    <w:rsid w:val="59BD1F9D"/>
    <w:rsid w:val="5A7E0220"/>
    <w:rsid w:val="5AA30B7D"/>
    <w:rsid w:val="5AE210D7"/>
    <w:rsid w:val="5B296730"/>
    <w:rsid w:val="5B9401F0"/>
    <w:rsid w:val="5B9B7F7D"/>
    <w:rsid w:val="5C3528CD"/>
    <w:rsid w:val="5C4371FC"/>
    <w:rsid w:val="5D377FF4"/>
    <w:rsid w:val="5E952569"/>
    <w:rsid w:val="5F2D4937"/>
    <w:rsid w:val="5F592EFB"/>
    <w:rsid w:val="5FA44197"/>
    <w:rsid w:val="5FBA1B9B"/>
    <w:rsid w:val="5FE35913"/>
    <w:rsid w:val="603E7BF6"/>
    <w:rsid w:val="607A0324"/>
    <w:rsid w:val="608B5D2F"/>
    <w:rsid w:val="60D72903"/>
    <w:rsid w:val="60D73A71"/>
    <w:rsid w:val="61186CA4"/>
    <w:rsid w:val="61F966C4"/>
    <w:rsid w:val="62063864"/>
    <w:rsid w:val="62C02329"/>
    <w:rsid w:val="62F463BE"/>
    <w:rsid w:val="63301F64"/>
    <w:rsid w:val="63A014B2"/>
    <w:rsid w:val="63BC7023"/>
    <w:rsid w:val="658867FD"/>
    <w:rsid w:val="65AC15B0"/>
    <w:rsid w:val="66106ACE"/>
    <w:rsid w:val="67524CBB"/>
    <w:rsid w:val="67A65B19"/>
    <w:rsid w:val="67CE4ADF"/>
    <w:rsid w:val="69426A88"/>
    <w:rsid w:val="698702E5"/>
    <w:rsid w:val="69982A9A"/>
    <w:rsid w:val="6A150F4B"/>
    <w:rsid w:val="6A1C24C9"/>
    <w:rsid w:val="6B6A729D"/>
    <w:rsid w:val="6BB256BF"/>
    <w:rsid w:val="6CAE2D39"/>
    <w:rsid w:val="6D000BE0"/>
    <w:rsid w:val="6E3E0797"/>
    <w:rsid w:val="6EAF2073"/>
    <w:rsid w:val="6EDD4BBC"/>
    <w:rsid w:val="6EE44E74"/>
    <w:rsid w:val="6F6036CC"/>
    <w:rsid w:val="6FD521F2"/>
    <w:rsid w:val="6FE62449"/>
    <w:rsid w:val="6FF23135"/>
    <w:rsid w:val="70683D6E"/>
    <w:rsid w:val="70B433E5"/>
    <w:rsid w:val="70C04EEF"/>
    <w:rsid w:val="71BA6D5E"/>
    <w:rsid w:val="720C6CA8"/>
    <w:rsid w:val="72A92833"/>
    <w:rsid w:val="72FE3D78"/>
    <w:rsid w:val="74655B82"/>
    <w:rsid w:val="747F0F51"/>
    <w:rsid w:val="754362CD"/>
    <w:rsid w:val="75EF16C8"/>
    <w:rsid w:val="768517FF"/>
    <w:rsid w:val="76A36431"/>
    <w:rsid w:val="77B3762C"/>
    <w:rsid w:val="77E12415"/>
    <w:rsid w:val="78494DB6"/>
    <w:rsid w:val="78952C3D"/>
    <w:rsid w:val="78B543BC"/>
    <w:rsid w:val="78C45047"/>
    <w:rsid w:val="797B736B"/>
    <w:rsid w:val="7A0732C0"/>
    <w:rsid w:val="7A771B11"/>
    <w:rsid w:val="7A7A6229"/>
    <w:rsid w:val="7A8E0F2C"/>
    <w:rsid w:val="7AEB78DF"/>
    <w:rsid w:val="7B92770E"/>
    <w:rsid w:val="7BFA6CF7"/>
    <w:rsid w:val="7C084C8A"/>
    <w:rsid w:val="7D5437E5"/>
    <w:rsid w:val="7D6464C5"/>
    <w:rsid w:val="7DE775DC"/>
    <w:rsid w:val="7DEF163F"/>
    <w:rsid w:val="7EF03BEC"/>
    <w:rsid w:val="7F233DE2"/>
    <w:rsid w:val="7F7516CF"/>
    <w:rsid w:val="7F8D10C2"/>
    <w:rsid w:val="7FA0502E"/>
    <w:rsid w:val="7FA10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3">
    <w:name w:val="heading 1"/>
    <w:next w:val="1"/>
    <w:qFormat/>
    <w:uiPriority w:val="0"/>
    <w:pPr>
      <w:widowControl w:val="0"/>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index 8"/>
    <w:basedOn w:val="1"/>
    <w:next w:val="1"/>
    <w:qFormat/>
    <w:uiPriority w:val="0"/>
    <w:pPr>
      <w:ind w:left="1400" w:leftChars="1400"/>
    </w:pPr>
  </w:style>
  <w:style w:type="paragraph" w:styleId="6">
    <w:name w:val="Normal Indent"/>
    <w:basedOn w:val="1"/>
    <w:next w:val="5"/>
    <w:qFormat/>
    <w:uiPriority w:val="0"/>
    <w:pPr>
      <w:ind w:firstLine="420"/>
    </w:pPr>
    <w:rPr>
      <w:szCs w:val="20"/>
    </w:rPr>
  </w:style>
  <w:style w:type="paragraph" w:styleId="7">
    <w:name w:val="annotation text"/>
    <w:basedOn w:val="1"/>
    <w:qFormat/>
    <w:uiPriority w:val="0"/>
    <w:pPr>
      <w:jc w:val="left"/>
    </w:pPr>
  </w:style>
  <w:style w:type="paragraph" w:styleId="8">
    <w:name w:val="Body Text 3"/>
    <w:basedOn w:val="1"/>
    <w:qFormat/>
    <w:uiPriority w:val="0"/>
    <w:pPr>
      <w:widowControl w:val="0"/>
      <w:spacing w:after="120" w:line="360" w:lineRule="auto"/>
      <w:jc w:val="both"/>
    </w:pPr>
    <w:rPr>
      <w:sz w:val="16"/>
      <w:szCs w:val="16"/>
    </w:rPr>
  </w:style>
  <w:style w:type="paragraph" w:styleId="9">
    <w:name w:val="Body Text"/>
    <w:basedOn w:val="1"/>
    <w:next w:val="10"/>
    <w:qFormat/>
    <w:uiPriority w:val="0"/>
    <w:pPr>
      <w:spacing w:after="120"/>
    </w:pPr>
    <w:rPr>
      <w:sz w:val="20"/>
    </w:rPr>
  </w:style>
  <w:style w:type="paragraph" w:styleId="10">
    <w:name w:val="Body Text Indent"/>
    <w:basedOn w:val="1"/>
    <w:next w:val="11"/>
    <w:qFormat/>
    <w:uiPriority w:val="0"/>
    <w:pPr>
      <w:spacing w:line="700" w:lineRule="exact"/>
      <w:ind w:left="960"/>
    </w:pPr>
    <w:rPr>
      <w:sz w:val="44"/>
    </w:rPr>
  </w:style>
  <w:style w:type="paragraph" w:styleId="11">
    <w:name w:val="Body Text First Indent 2"/>
    <w:basedOn w:val="10"/>
    <w:next w:val="9"/>
    <w:qFormat/>
    <w:uiPriority w:val="0"/>
    <w:pPr>
      <w:spacing w:after="120" w:line="240" w:lineRule="auto"/>
      <w:ind w:left="420" w:leftChars="200" w:firstLine="420" w:firstLineChars="200"/>
    </w:pPr>
    <w:rPr>
      <w:sz w:val="21"/>
    </w:rPr>
  </w:style>
  <w:style w:type="paragraph" w:styleId="12">
    <w:name w:val="Plain Text"/>
    <w:basedOn w:val="1"/>
    <w:next w:val="1"/>
    <w:qFormat/>
    <w:uiPriority w:val="0"/>
    <w:rPr>
      <w:rFonts w:ascii="宋体" w:hAnsi="Courier New" w:cs="Courier New"/>
      <w:szCs w:val="21"/>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next w:val="1"/>
    <w:qFormat/>
    <w:uiPriority w:val="0"/>
    <w:pPr>
      <w:tabs>
        <w:tab w:val="left" w:pos="3420"/>
      </w:tabs>
      <w:spacing w:line="480" w:lineRule="exact"/>
      <w:jc w:val="center"/>
    </w:pPr>
    <w:rPr>
      <w:rFonts w:ascii="宋体" w:hAnsi="Times New Roman" w:eastAsia="宋体" w:cs="Times New Roman"/>
      <w:b/>
      <w:bCs/>
      <w:sz w:val="24"/>
      <w:szCs w:val="24"/>
      <w:lang w:val="en-US" w:eastAsia="zh-CN" w:bidi="ar-SA"/>
    </w:rPr>
  </w:style>
  <w:style w:type="paragraph" w:styleId="16">
    <w:name w:val="Body Text Indent 3"/>
    <w:basedOn w:val="1"/>
    <w:qFormat/>
    <w:uiPriority w:val="0"/>
    <w:pPr>
      <w:widowControl w:val="0"/>
      <w:autoSpaceDE w:val="0"/>
      <w:autoSpaceDN w:val="0"/>
      <w:spacing w:before="0" w:after="120" w:line="240" w:lineRule="auto"/>
      <w:ind w:left="420" w:leftChars="200" w:right="0"/>
      <w:jc w:val="left"/>
    </w:pPr>
    <w:rPr>
      <w:rFonts w:ascii="宋体" w:hAnsi="宋体" w:eastAsia="宋体" w:cs="宋体"/>
      <w:sz w:val="16"/>
      <w:szCs w:val="16"/>
      <w:lang w:val="zh-CN" w:eastAsia="zh-CN" w:bidi="zh-CN"/>
    </w:rPr>
  </w:style>
  <w:style w:type="paragraph" w:styleId="17">
    <w:name w:val="toc 2"/>
    <w:basedOn w:val="1"/>
    <w:next w:val="1"/>
    <w:qFormat/>
    <w:uiPriority w:val="39"/>
    <w:pPr>
      <w:ind w:left="210"/>
      <w:jc w:val="left"/>
    </w:pPr>
    <w:rPr>
      <w:smallCaps/>
      <w:sz w:val="20"/>
      <w:szCs w:val="20"/>
    </w:rPr>
  </w:style>
  <w:style w:type="paragraph" w:styleId="18">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table" w:styleId="2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rPr>
  </w:style>
  <w:style w:type="character" w:styleId="23">
    <w:name w:val="page number"/>
    <w:qFormat/>
    <w:uiPriority w:val="0"/>
  </w:style>
  <w:style w:type="paragraph" w:customStyle="1" w:styleId="24">
    <w:name w:val="_Style 3"/>
    <w:next w:val="16"/>
    <w:qFormat/>
    <w:uiPriority w:val="0"/>
    <w:pPr>
      <w:widowControl w:val="0"/>
      <w:autoSpaceDE w:val="0"/>
      <w:autoSpaceDN w:val="0"/>
      <w:adjustRightInd w:val="0"/>
      <w:spacing w:before="0" w:after="0" w:line="480" w:lineRule="exact"/>
      <w:ind w:left="0" w:right="0" w:firstLine="560"/>
      <w:jc w:val="left"/>
    </w:pPr>
    <w:rPr>
      <w:rFonts w:ascii="宋体" w:hAnsi="宋体" w:eastAsia="宋体" w:cs="宋体"/>
      <w:color w:val="000000"/>
      <w:kern w:val="0"/>
      <w:sz w:val="28"/>
      <w:szCs w:val="20"/>
      <w:lang w:val="zh-CN" w:eastAsia="zh-CN" w:bidi="zh-CN"/>
    </w:rPr>
  </w:style>
  <w:style w:type="paragraph" w:customStyle="1" w:styleId="25">
    <w:name w:val="Table Paragraph"/>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customStyle="1" w:styleId="26">
    <w:name w:val="font11"/>
    <w:basedOn w:val="21"/>
    <w:qFormat/>
    <w:uiPriority w:val="0"/>
    <w:rPr>
      <w:rFonts w:hint="eastAsia" w:ascii="仿宋_GB2312" w:eastAsia="仿宋_GB2312" w:cs="仿宋_GB2312"/>
      <w:color w:val="000000"/>
      <w:sz w:val="24"/>
      <w:szCs w:val="24"/>
      <w:u w:val="none"/>
    </w:rPr>
  </w:style>
  <w:style w:type="paragraph" w:customStyle="1" w:styleId="27">
    <w:name w:val="null3"/>
    <w:hidden/>
    <w:qFormat/>
    <w:uiPriority w:val="0"/>
    <w:rPr>
      <w:rFonts w:hint="eastAsia" w:asciiTheme="minorHAnsi" w:hAnsiTheme="minorHAnsi" w:eastAsiaTheme="minorEastAsia" w:cstheme="minorBidi"/>
      <w:lang w:val="en-US" w:eastAsia="zh-Hans"/>
    </w:rPr>
  </w:style>
  <w:style w:type="paragraph" w:customStyle="1" w:styleId="28">
    <w:name w:val="样式2"/>
    <w:basedOn w:val="1"/>
    <w:qFormat/>
    <w:uiPriority w:val="0"/>
    <w:pPr>
      <w:spacing w:line="300" w:lineRule="auto"/>
      <w:jc w:val="center"/>
      <w:outlineLvl w:val="0"/>
    </w:pPr>
    <w:rPr>
      <w:b/>
      <w:sz w:val="24"/>
      <w:szCs w:val="20"/>
    </w:rPr>
  </w:style>
  <w:style w:type="paragraph" w:styleId="29">
    <w:name w:val="List Paragraph"/>
    <w:basedOn w:val="1"/>
    <w:qFormat/>
    <w:uiPriority w:val="34"/>
    <w:pPr>
      <w:ind w:firstLine="420" w:firstLineChars="200"/>
    </w:pPr>
  </w:style>
  <w:style w:type="paragraph" w:customStyle="1" w:styleId="30">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31">
    <w:name w:val="列出段落1"/>
    <w:basedOn w:val="1"/>
    <w:qFormat/>
    <w:uiPriority w:val="0"/>
    <w:pPr>
      <w:ind w:firstLine="420" w:firstLineChars="200"/>
    </w:pPr>
    <w:rPr>
      <w:rFonts w:ascii="Calibri" w:hAnsi="Calibri"/>
      <w:szCs w:val="22"/>
    </w:rPr>
  </w:style>
  <w:style w:type="character" w:customStyle="1" w:styleId="32">
    <w:name w:val="font41"/>
    <w:basedOn w:val="21"/>
    <w:qFormat/>
    <w:uiPriority w:val="0"/>
    <w:rPr>
      <w:rFonts w:ascii="Calibri" w:hAnsi="Calibri" w:cs="Calibri"/>
      <w:color w:val="000000"/>
      <w:sz w:val="21"/>
      <w:szCs w:val="21"/>
      <w:u w:val="none"/>
    </w:rPr>
  </w:style>
  <w:style w:type="paragraph" w:customStyle="1" w:styleId="33">
    <w:name w:val="正文缩进1"/>
    <w:basedOn w:val="1"/>
    <w:qFormat/>
    <w:uiPriority w:val="0"/>
    <w:pPr>
      <w:widowControl/>
      <w:ind w:firstLine="420"/>
      <w:jc w:val="left"/>
    </w:pPr>
    <w:rPr>
      <w:kern w:val="0"/>
    </w:rPr>
  </w:style>
  <w:style w:type="paragraph" w:customStyle="1" w:styleId="34">
    <w:name w:val="首行缩进"/>
    <w:basedOn w:val="1"/>
    <w:qFormat/>
    <w:uiPriority w:val="0"/>
    <w:pPr>
      <w:numPr>
        <w:ilvl w:val="0"/>
        <w:numId w:val="1"/>
      </w:numPr>
      <w:spacing w:line="360" w:lineRule="auto"/>
    </w:pPr>
    <w:rPr>
      <w:rFonts w:eastAsia="仿宋_GB231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香洲区</Company>
  <Pages>34</Pages>
  <Words>20547</Words>
  <Characters>21790</Characters>
  <Lines>1</Lines>
  <Paragraphs>1</Paragraphs>
  <TotalTime>4</TotalTime>
  <ScaleCrop>false</ScaleCrop>
  <LinksUpToDate>false</LinksUpToDate>
  <CharactersWithSpaces>22152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2024-10-09T03:37:00Z</dcterms:created>
  <dc:creator>DXL2</dc:creator>
  <cp:lastModifiedBy>香洲区第二人民医院:股长办理</cp:lastModifiedBy>
  <cp:lastPrinted>2025-07-21T07:58:00Z</cp:lastPrinted>
  <dcterms:modified xsi:type="dcterms:W3CDTF">2026-08-17T09:40:15Z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A4AC7D4F7CAA464B90F548E91A794D6F</vt:lpwstr>
  </property>
  <property fmtid="{D5CDD505-2E9C-101B-9397-08002B2CF9AE}" pid="4" name="KSOTemplateDocerSaveRecord">
    <vt:lpwstr>eyJoZGlkIjoiYzk2NzUxMzcxNWJjNWNmMzgwMmNiYTc1M2U2YThlYjAifQ==</vt:lpwstr>
  </property>
</Properties>
</file>