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51"/>
        </w:tabs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用户需求书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一、采购内容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院区室内信号分布、院区网络覆盖及数字电视服务。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二、项目概括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1#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楼新建门诊及住院大楼、新建连廊建筑、地下室及出口建筑面积合计约1173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平方米，需要提供室内手机5G信号分布及公共区域的无线网络覆盖。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2.院区内共300间病房，同时至少需要为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0台电视终端提供数字电视服务。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三、具体技术(参数)要求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室内信号分布：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楼新建门诊及住院大楼、新建连廊建筑、地下室等区域的移动、联通、电信及广电手机5G信号室内覆盖，需兼容4G。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1#楼周边50米范围内信号增强。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网络覆盖：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网络下行速率不小于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网络接入改扩建项目综合布线、AP点位联调、测试、验收。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数字电视服务：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(1)提供至少50路电视直播节目，包括但不限于央视系列、地方卫视系列及港澳系列。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(2)响应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一个遥控器看电视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，能仅使用一个遥控器即可操控电视机。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(3)提供定制的开机界面，能上传图片或视频。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(4)院方能对正在播放的电视插播讯息。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(5)提供的节目需确保合法。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院方定制频道≥2路（含医院宣传、就诊指南等）。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数字电视服务接入改扩建项目视讯服务器、综合布线、TV点位联调、测试、验收。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维保服务: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(1)提供三年维保服务。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(2)维保期限内提供免费维修服务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包含本次实施范围内所有线路和设备等。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(3)提供定期巡查巡检服务。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(4)维保期结束后，后续费用：电视终端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≤10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网络宽带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≤1000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月，无其他费用。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服务响应时间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提供24小时值班人员的联系方式，并保证24小时通讯畅通。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接到我方报故障后，维护人员应2小时内响应，24小时内维修完毕。若故障时间已经或可能会超过24小时，中标人需要以书面形式向我方报告并给予解决方案。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(3)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遭遇应急抢修或重大故障，维护人员应30分钟内到场配合开展工作。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其他技术要求：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（1）供应商要提供设计方案，内容包括但不限于：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施工计划；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信号覆盖及信号分布设计；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设备的选型；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安装布线等。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）验收方案，内容包括但不限于：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分项检验；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验收内容；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验收标准等。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）应急方案，内容包括但不限于：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施工质量问题；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信号覆盖问题；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设备的选型问题；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网络安全风险等。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）售后服务方案，内容包括：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售后服务方式；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响应时间；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处理流程等。</w:t>
            </w:r>
          </w:p>
        </w:tc>
      </w:tr>
    </w:tbl>
    <w:p>
      <w:pPr>
        <w:tabs>
          <w:tab w:val="left" w:pos="335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1B808"/>
    <w:multiLevelType w:val="singleLevel"/>
    <w:tmpl w:val="BD11B80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1F45A5F8"/>
    <w:multiLevelType w:val="singleLevel"/>
    <w:tmpl w:val="1F45A5F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5293B"/>
    <w:rsid w:val="03CA4BA1"/>
    <w:rsid w:val="102921D2"/>
    <w:rsid w:val="10E62866"/>
    <w:rsid w:val="114A5003"/>
    <w:rsid w:val="130A2B31"/>
    <w:rsid w:val="131F03CD"/>
    <w:rsid w:val="161738F8"/>
    <w:rsid w:val="17AD4137"/>
    <w:rsid w:val="1A3C2776"/>
    <w:rsid w:val="1ABE19B9"/>
    <w:rsid w:val="269A4548"/>
    <w:rsid w:val="28943FC1"/>
    <w:rsid w:val="2925293B"/>
    <w:rsid w:val="31210792"/>
    <w:rsid w:val="31A032AA"/>
    <w:rsid w:val="34A45F42"/>
    <w:rsid w:val="3D036EBE"/>
    <w:rsid w:val="40D73BA8"/>
    <w:rsid w:val="416748F8"/>
    <w:rsid w:val="430E62A6"/>
    <w:rsid w:val="495A69EA"/>
    <w:rsid w:val="50AD776A"/>
    <w:rsid w:val="576414C8"/>
    <w:rsid w:val="6FAB187B"/>
    <w:rsid w:val="724B1FB3"/>
    <w:rsid w:val="7D431144"/>
    <w:rsid w:val="7E244499"/>
    <w:rsid w:val="7F20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2</Pages>
  <Words>667</Words>
  <Characters>717</Characters>
  <Lines>0</Lines>
  <Paragraphs>0</Paragraphs>
  <TotalTime>2</TotalTime>
  <ScaleCrop>false</ScaleCrop>
  <LinksUpToDate>false</LinksUpToDate>
  <CharactersWithSpaces>729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2026-05-21T07:53:00Z</dcterms:created>
  <dc:creator>USR</dc:creator>
  <cp:lastModifiedBy>内审dxl</cp:lastModifiedBy>
  <dcterms:modified xsi:type="dcterms:W3CDTF">2026-07-08T02:59:48Z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61370C8CE8244D4CA0669AFBE435ACD6</vt:lpwstr>
  </property>
  <property fmtid="{D5CDD505-2E9C-101B-9397-08002B2CF9AE}" pid="4" name="KSOTemplateDocerSaveRecord">
    <vt:lpwstr>eyJoZGlkIjoiZTE0MjU0MWJjMDA1NGVmNjY3YzQ4NGFhY2RmMzFkOTciLCJ1c2VySWQiOiI1Njg1MzY2MDcifQ==</vt:lpwstr>
  </property>
</Properties>
</file>