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宋体" w:hAnsi="宋体" w:cs="宋体"/>
          <w:sz w:val="72"/>
        </w:rPr>
      </w:pPr>
      <w:r>
        <w:rPr>
          <w:rFonts w:hint="eastAsia" w:ascii="宋体" w:hAnsi="宋体" w:cs="宋体"/>
          <w:sz w:val="72"/>
        </w:rPr>
        <w:t>招标文件</w:t>
      </w: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pPr>
      <w:r>
        <w:rPr>
          <w:rFonts w:hint="eastAsia" w:ascii="宋体" w:hAnsi="宋体" w:cs="宋体"/>
          <w:b/>
          <w:sz w:val="24"/>
          <w:szCs w:val="24"/>
        </w:rPr>
        <w:t>项目名称：</w:t>
      </w: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珠海市香洲区第二人民医院手术室净化系统维保和</w:t>
      </w:r>
    </w:p>
    <w:p>
      <w:pPr>
        <w:pStyle w:val="14"/>
        <w:spacing w:line="360" w:lineRule="auto"/>
        <w:ind w:left="0" w:leftChars="0" w:firstLine="1280" w:firstLineChars="400"/>
        <w:rPr>
          <w:rFonts w:hint="eastAsia" w:ascii="仿宋" w:hAnsi="仿宋" w:eastAsia="仿宋" w:cs="仿宋"/>
          <w:b w:val="0"/>
          <w:color w:val="000000" w:themeColor="text1"/>
          <w:sz w:val="32"/>
          <w:szCs w:val="32"/>
          <w:lang w:val="en-US" w:eastAsia="zh-CN" w:bidi="ar"/>
          <w14:textFill>
            <w14:solidFill>
              <w14:schemeClr w14:val="tx1"/>
            </w14:solidFill>
          </w14:textFill>
        </w:rPr>
      </w:pP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高效过滤器更换服务采购项目</w:t>
      </w:r>
    </w:p>
    <w:p>
      <w:pPr>
        <w:pStyle w:val="14"/>
        <w:spacing w:line="360" w:lineRule="auto"/>
        <w:ind w:left="0" w:leftChars="0" w:firstLine="0" w:firstLineChars="0"/>
        <w:rPr>
          <w:rFonts w:hint="default" w:ascii="宋体" w:hAnsi="宋体" w:eastAsia="宋体" w:cs="宋体"/>
          <w:b/>
          <w:sz w:val="24"/>
          <w:szCs w:val="24"/>
          <w:lang w:val="en-US" w:eastAsia="zh-CN"/>
        </w:rPr>
      </w:pPr>
      <w:r>
        <w:rPr>
          <w:rFonts w:hint="eastAsia" w:ascii="宋体" w:hAnsi="宋体" w:cs="宋体"/>
          <w:b/>
          <w:sz w:val="24"/>
          <w:szCs w:val="24"/>
        </w:rPr>
        <w:t>项目编号：</w:t>
      </w:r>
      <w:r>
        <w:rPr>
          <w:rFonts w:hint="eastAsia" w:ascii="仿宋" w:hAnsi="仿宋" w:eastAsia="仿宋" w:cs="仿宋"/>
          <w:b w:val="0"/>
          <w:color w:val="000000" w:themeColor="text1"/>
          <w:sz w:val="32"/>
          <w:szCs w:val="32"/>
          <w:lang w:val="en-US" w:bidi="ar"/>
          <w14:textFill>
            <w14:solidFill>
              <w14:schemeClr w14:val="tx1"/>
            </w14:solidFill>
          </w14:textFill>
        </w:rPr>
        <w:t>HQCG202</w:t>
      </w:r>
      <w:r>
        <w:rPr>
          <w:rFonts w:hint="eastAsia" w:ascii="仿宋" w:hAnsi="仿宋" w:eastAsia="仿宋" w:cs="仿宋"/>
          <w:b w:val="0"/>
          <w:color w:val="000000" w:themeColor="text1"/>
          <w:sz w:val="32"/>
          <w:szCs w:val="32"/>
          <w:lang w:val="en-US" w:eastAsia="zh-CN" w:bidi="ar"/>
          <w14:textFill>
            <w14:solidFill>
              <w14:schemeClr w14:val="tx1"/>
            </w14:solidFill>
          </w14:textFill>
        </w:rPr>
        <w:t>6003</w:t>
      </w:r>
    </w:p>
    <w:p>
      <w:pPr>
        <w:pStyle w:val="14"/>
        <w:ind w:left="0" w:leftChars="0" w:firstLine="0" w:firstLineChars="0"/>
        <w:rPr>
          <w:rFonts w:hint="eastAsia" w:ascii="宋体" w:hAnsi="宋体" w:cs="宋体"/>
          <w:b/>
          <w:sz w:val="28"/>
        </w:rPr>
      </w:pPr>
    </w:p>
    <w:p>
      <w:pPr>
        <w:pStyle w:val="14"/>
        <w:ind w:left="0" w:leftChars="0" w:firstLine="0" w:firstLineChars="0"/>
        <w:rPr>
          <w:rFonts w:hint="eastAsia" w:ascii="宋体" w:hAnsi="宋体" w:cs="宋体"/>
          <w:b/>
          <w:sz w:val="28"/>
        </w:rPr>
      </w:pPr>
    </w:p>
    <w:p>
      <w:pPr>
        <w:pStyle w:val="14"/>
        <w:ind w:left="0" w:leftChars="0" w:firstLine="0" w:firstLineChars="0"/>
        <w:rPr>
          <w:rFonts w:hint="eastAsia" w:ascii="宋体" w:hAnsi="宋体" w:cs="宋体"/>
          <w:b/>
          <w:sz w:val="28"/>
        </w:rPr>
      </w:pPr>
    </w:p>
    <w:p>
      <w:pPr>
        <w:pStyle w:val="14"/>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采购人：珠海市香洲区第二人民医院</w:t>
      </w: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2026年6月</w:t>
      </w:r>
    </w:p>
    <w:p>
      <w:pPr>
        <w:spacing w:line="360" w:lineRule="auto"/>
        <w:jc w:val="center"/>
        <w:rPr>
          <w:rFonts w:hint="eastAsia" w:ascii="宋体" w:hAnsi="宋体" w:cs="宋体"/>
          <w:b/>
          <w:sz w:val="28"/>
          <w:szCs w:val="28"/>
        </w:rPr>
      </w:pPr>
    </w:p>
    <w:p>
      <w:pPr>
        <w:pStyle w:val="9"/>
        <w:rPr>
          <w:rFonts w:hint="eastAsia"/>
        </w:rPr>
        <w:sectPr>
          <w:footerReference r:id="rId5" w:type="default"/>
          <w:pgSz w:w="11906" w:h="16838"/>
          <w:pgMar w:top="1434" w:right="1474" w:bottom="1434" w:left="1474" w:header="851" w:footer="992" w:gutter="0"/>
          <w:pgNumType w:fmt="decimal"/>
          <w:cols w:space="425" w:num="1"/>
          <w:docGrid w:type="lines" w:linePitch="312" w:charSpace="0"/>
        </w:sect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r>
        <w:rPr>
          <w:rFonts w:hint="eastAsia" w:ascii="宋体" w:hAnsi="宋体" w:cs="宋体"/>
          <w:sz w:val="52"/>
          <w:szCs w:val="20"/>
          <w:lang w:val="en-US" w:eastAsia="zh-CN"/>
        </w:rPr>
        <w:t>目   录</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第一部分  招标公告</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 xml:space="preserve">第二部分  </w:t>
      </w:r>
      <w:r>
        <w:rPr>
          <w:rFonts w:hint="eastAsia" w:cs="宋体"/>
          <w:sz w:val="32"/>
          <w:szCs w:val="32"/>
          <w:lang w:val="en-US" w:eastAsia="zh-CN"/>
        </w:rPr>
        <w:t>用户</w:t>
      </w:r>
      <w:r>
        <w:rPr>
          <w:rFonts w:hint="eastAsia" w:ascii="宋体" w:hAnsi="宋体" w:cs="宋体"/>
          <w:sz w:val="32"/>
          <w:szCs w:val="32"/>
          <w:lang w:val="en-US" w:eastAsia="zh-CN"/>
        </w:rPr>
        <w:t>需求书</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第三部分  投标人须知前附表</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四</w:t>
      </w:r>
      <w:r>
        <w:rPr>
          <w:rFonts w:hint="eastAsia" w:ascii="宋体" w:hAnsi="宋体" w:cs="宋体"/>
          <w:sz w:val="32"/>
          <w:szCs w:val="32"/>
          <w:lang w:val="en-US" w:eastAsia="zh-CN"/>
        </w:rPr>
        <w:t xml:space="preserve">部分 </w:t>
      </w:r>
      <w:r>
        <w:rPr>
          <w:rFonts w:hint="eastAsia" w:cs="宋体"/>
          <w:sz w:val="32"/>
          <w:szCs w:val="32"/>
          <w:lang w:val="en-US" w:eastAsia="zh-CN"/>
        </w:rPr>
        <w:t xml:space="preserve"> </w:t>
      </w:r>
      <w:r>
        <w:rPr>
          <w:rFonts w:hint="eastAsia" w:ascii="宋体" w:hAnsi="宋体" w:cs="宋体"/>
          <w:sz w:val="32"/>
          <w:szCs w:val="32"/>
          <w:lang w:val="en-US" w:eastAsia="zh-CN"/>
        </w:rPr>
        <w:t>评标方法与标准</w:t>
      </w:r>
    </w:p>
    <w:p>
      <w:pPr>
        <w:tabs>
          <w:tab w:val="center" w:pos="4156"/>
          <w:tab w:val="left" w:pos="6405"/>
        </w:tabs>
        <w:adjustRightInd w:val="0"/>
        <w:snapToGrid w:val="0"/>
        <w:spacing w:line="480" w:lineRule="auto"/>
        <w:ind w:leftChars="400"/>
        <w:jc w:val="left"/>
        <w:rPr>
          <w:rFonts w:hint="eastAsia"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五</w:t>
      </w:r>
      <w:r>
        <w:rPr>
          <w:rFonts w:hint="eastAsia" w:ascii="宋体" w:hAnsi="宋体" w:cs="宋体"/>
          <w:sz w:val="32"/>
          <w:szCs w:val="32"/>
          <w:lang w:val="en-US" w:eastAsia="zh-CN"/>
        </w:rPr>
        <w:t>部分  投标文件格式</w:t>
      </w:r>
      <w:r>
        <w:rPr>
          <w:rFonts w:hint="eastAsia" w:cs="宋体"/>
          <w:sz w:val="32"/>
          <w:szCs w:val="32"/>
          <w:lang w:val="en-US" w:eastAsia="zh-CN"/>
        </w:rPr>
        <w:t>（参考）</w:t>
      </w:r>
    </w:p>
    <w:p>
      <w:pPr>
        <w:tabs>
          <w:tab w:val="center" w:pos="4156"/>
          <w:tab w:val="left" w:pos="6405"/>
        </w:tabs>
        <w:adjustRightInd w:val="0"/>
        <w:snapToGrid w:val="0"/>
        <w:spacing w:line="480" w:lineRule="auto"/>
        <w:ind w:leftChars="400"/>
        <w:jc w:val="left"/>
        <w:rPr>
          <w:rFonts w:hint="default" w:ascii="宋体" w:hAnsi="宋体" w:cs="宋体"/>
          <w:sz w:val="32"/>
          <w:szCs w:val="32"/>
          <w:lang w:val="en-US" w:eastAsia="zh-CN"/>
        </w:rPr>
      </w:pPr>
      <w:r>
        <w:rPr>
          <w:rFonts w:hint="eastAsia" w:cs="宋体"/>
          <w:sz w:val="32"/>
          <w:szCs w:val="32"/>
          <w:lang w:val="en-US" w:eastAsia="zh-CN"/>
        </w:rPr>
        <w:t>第六部分  投标人须知</w:t>
      </w:r>
    </w:p>
    <w:p>
      <w:pPr>
        <w:pStyle w:val="9"/>
        <w:rPr>
          <w:rFonts w:hint="eastAsia" w:ascii="宋体" w:hAnsi="宋体" w:cs="宋体"/>
          <w:sz w:val="32"/>
          <w:szCs w:val="32"/>
          <w:lang w:val="en-US" w:eastAsia="zh-CN"/>
        </w:rPr>
      </w:pPr>
    </w:p>
    <w:p>
      <w:pPr>
        <w:rPr>
          <w:rFonts w:hint="eastAsia"/>
          <w:lang w:val="en-US" w:eastAsia="zh-CN"/>
        </w:rPr>
        <w:sectPr>
          <w:pgSz w:w="11906" w:h="16838"/>
          <w:pgMar w:top="1434" w:right="1474" w:bottom="1984" w:left="1474" w:header="851" w:footer="992" w:gutter="0"/>
          <w:pgNumType w:fmt="decimal"/>
          <w:cols w:space="425" w:num="1"/>
          <w:docGrid w:type="lines" w:linePitch="312" w:charSpace="0"/>
        </w:sectPr>
      </w:pPr>
    </w:p>
    <w:p>
      <w:pPr>
        <w:spacing w:line="360" w:lineRule="auto"/>
        <w:jc w:val="center"/>
        <w:rPr>
          <w:rFonts w:hint="eastAsia" w:ascii="宋体" w:hAnsi="宋体" w:cs="宋体"/>
          <w:kern w:val="28"/>
          <w:sz w:val="32"/>
          <w:szCs w:val="32"/>
        </w:rPr>
      </w:pPr>
      <w:bookmarkStart w:id="0" w:name="_Toc22659"/>
      <w:bookmarkStart w:id="1" w:name="_Toc28359001"/>
      <w:bookmarkStart w:id="2" w:name="_Toc35393789"/>
      <w:r>
        <w:rPr>
          <w:rFonts w:hint="eastAsia" w:ascii="宋体" w:hAnsi="宋体" w:cs="宋体"/>
          <w:b/>
          <w:kern w:val="28"/>
          <w:sz w:val="32"/>
          <w:szCs w:val="32"/>
          <w:lang w:val="en-US" w:eastAsia="zh-CN"/>
        </w:rPr>
        <w:t xml:space="preserve">第一部分 </w:t>
      </w:r>
      <w:r>
        <w:rPr>
          <w:rFonts w:hint="eastAsia" w:ascii="宋体" w:hAnsi="宋体" w:cs="宋体"/>
          <w:b/>
          <w:kern w:val="28"/>
          <w:sz w:val="32"/>
          <w:szCs w:val="32"/>
        </w:rPr>
        <w:t>招标公告</w:t>
      </w:r>
      <w:bookmarkEnd w:id="0"/>
      <w:bookmarkEnd w:id="1"/>
      <w:bookmarkEnd w:id="2"/>
    </w:p>
    <w:p>
      <w:pPr>
        <w:pStyle w:val="14"/>
        <w:keepNext w:val="0"/>
        <w:keepLines w:val="0"/>
        <w:pageBreakBefore w:val="0"/>
        <w:widowControl w:val="0"/>
        <w:kinsoku/>
        <w:wordWrap/>
        <w:overflowPunct/>
        <w:topLinePunct w:val="0"/>
        <w:autoSpaceDE w:val="0"/>
        <w:autoSpaceDN w:val="0"/>
        <w:bidi w:val="0"/>
        <w:adjustRightInd/>
        <w:snapToGrid/>
        <w:spacing w:after="0" w:line="579" w:lineRule="exact"/>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fill="FFFFFF"/>
        </w:rPr>
      </w:pPr>
    </w:p>
    <w:p>
      <w:pPr>
        <w:ind w:firstLine="560" w:firstLineChars="200"/>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t>本项目采用院内招标方式组织珠海市香洲区第二人民医院手术室净化系统维保和高效过滤器更换服务采购项目活动，欢迎符合资格条件的投标人参加。</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一、项目基本情况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1400" w:right="0" w:rightChars="0" w:hanging="1400" w:hangingChars="50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项目名称：珠海市香洲区第二人民医院手术室净化系统维保和高效过滤器更换服务采购项目</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default"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项目编号：HQCG2026003</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0" w:rightChars="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招标方式：院内招标</w:t>
      </w:r>
    </w:p>
    <w:tbl>
      <w:tblPr>
        <w:tblStyle w:val="16"/>
        <w:tblW w:w="8826"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16"/>
        <w:gridCol w:w="3195"/>
        <w:gridCol w:w="1155"/>
        <w:gridCol w:w="166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14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服务期限</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4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宋体" w:hAnsi="宋体" w:eastAsia="宋体" w:cs="宋体"/>
                <w:sz w:val="24"/>
                <w:szCs w:val="24"/>
                <w:lang w:val="en-US"/>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手术室净化系统维保和高效过滤器更换服务</w:t>
            </w:r>
          </w:p>
        </w:tc>
        <w:tc>
          <w:tcPr>
            <w:tcW w:w="3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1年（2026年8月8日至2027年8月7日），在合同履约期间，若因采购人实施改扩建项目导致手术室净化系统维保服务采购事项进行调整，采购人有权提前1个月书面通知中标供应商，中标供应商应予以配合并完成相关交接工作,以实际服务期限据实结算。因上述调整导致合同无法继续履行的，双</w:t>
            </w: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方</w:t>
            </w: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可协商解除合同，采购人不承担违约责任。</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1项</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详见《用户需求书》</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95950.33</w:t>
            </w:r>
          </w:p>
        </w:tc>
      </w:tr>
    </w:tbl>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注明：</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1.本项目报价采用总价报价的方式，投标人的投标总价不能高于最高限价，否则其报价将被认定为无效报价。</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2.</w:t>
      </w:r>
      <w:r>
        <w:rPr>
          <w:rFonts w:hint="eastAsia" w:ascii="仿宋" w:hAnsi="仿宋" w:eastAsia="仿宋" w:cs="仿宋"/>
          <w:i w:val="0"/>
          <w:iCs w:val="0"/>
          <w:caps w:val="0"/>
          <w:spacing w:val="0"/>
          <w:kern w:val="2"/>
          <w:sz w:val="28"/>
          <w:szCs w:val="28"/>
          <w:shd w:val="clear"/>
          <w:vertAlign w:val="baseline"/>
          <w:lang w:val="en-US" w:eastAsia="zh-CN" w:bidi="ar"/>
        </w:rPr>
        <w:t>本项目不接受联合体投标，</w:t>
      </w:r>
      <w:r>
        <w:rPr>
          <w:rFonts w:hint="eastAsia" w:ascii="仿宋" w:hAnsi="仿宋" w:eastAsia="仿宋" w:cs="仿宋"/>
          <w:sz w:val="28"/>
          <w:szCs w:val="28"/>
        </w:rPr>
        <w:t>不允许分包</w:t>
      </w:r>
      <w:r>
        <w:rPr>
          <w:rFonts w:hint="eastAsia" w:ascii="仿宋" w:hAnsi="仿宋" w:eastAsia="仿宋" w:cs="仿宋"/>
          <w:sz w:val="28"/>
          <w:szCs w:val="28"/>
          <w:lang w:eastAsia="zh-CN"/>
        </w:rPr>
        <w:t>、</w:t>
      </w:r>
      <w:r>
        <w:rPr>
          <w:rFonts w:hint="eastAsia" w:ascii="仿宋" w:hAnsi="仿宋" w:eastAsia="仿宋" w:cs="仿宋"/>
          <w:sz w:val="28"/>
          <w:szCs w:val="28"/>
        </w:rPr>
        <w:t>转包</w:t>
      </w:r>
      <w:r>
        <w:rPr>
          <w:rFonts w:hint="eastAsia" w:ascii="仿宋" w:hAnsi="仿宋" w:eastAsia="仿宋" w:cs="仿宋"/>
          <w:i w:val="0"/>
          <w:iCs w:val="0"/>
          <w:caps w:val="0"/>
          <w:spacing w:val="0"/>
          <w:kern w:val="2"/>
          <w:sz w:val="28"/>
          <w:szCs w:val="28"/>
          <w:shd w:val="clear"/>
          <w:vertAlign w:val="baseline"/>
          <w:lang w:val="en-US" w:eastAsia="zh-CN" w:bidi="ar"/>
        </w:rPr>
        <w:t>。</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3.服务地点：珠海市香洲区第二人民医院或采购人指定地点。</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符合《中华人民共和国政府采购法》第二十二条规定的条件。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（2）有依法缴纳税收和社会保障资金的良好记录：提供《投标人资格声明函》（格式可参照招标公告附件）。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（3）具有良好的商业信誉和健全的财务会计制度：提供《投标人资格声明函》（格式可参照招标公告附件）。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（4）履行合同所必需的设备和专业技术能力：提供《投标人资格声明函》（格式可参照招标公告附件）。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（5）参加招标活动前3年内，在经营活动中没有重大违法记录：提供《投标人资格声明函》（格式可参照招标公告附件）。</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2.落实政府采购政策需满足的资格要求：</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本项目专门面向中小企业，供应商应为中小微企业、监狱企业、残疾人福利性单位。（提供《中小企业声明函》或属于监狱企业的证明材料或《残疾人福利性单位声明函》，否则不予认定）</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3.本项目的特定资格要求：</w:t>
      </w:r>
    </w:p>
    <w:p>
      <w:pPr>
        <w:keepNext w:val="0"/>
        <w:keepLines w:val="0"/>
        <w:pageBreakBefore w:val="0"/>
        <w:widowControl w:val="0"/>
        <w:kinsoku/>
        <w:wordWrap/>
        <w:overflowPunct/>
        <w:topLinePunct w:val="0"/>
        <w:bidi w:val="0"/>
        <w:adjustRightInd/>
        <w:snapToGrid/>
        <w:spacing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（1）供应商未列入“信用中国”网站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“记录失信被执行人或重大税收违法案件当事人名单或政府采购严重违法失信行为”的记录名单；不处于中国政府采购网</w:t>
      </w:r>
      <w:r>
        <w:rPr>
          <w:rFonts w:hint="default" w:ascii="Times New Roman" w:hAnsi="Times New Roman" w:eastAsia="仿宋" w:cs="Times New Roman"/>
          <w:i w:val="0"/>
          <w:iCs w:val="0"/>
          <w:caps w:val="0"/>
          <w:spacing w:val="0"/>
          <w:sz w:val="28"/>
          <w:szCs w:val="28"/>
          <w:shd w:val="clear"/>
          <w:lang w:val="en-US" w:eastAsia="zh-CN"/>
        </w:rPr>
        <w:t>(www.ccgp.gov.cn)</w:t>
      </w:r>
      <w:r>
        <w:rPr>
          <w:rFonts w:hint="eastAsia" w:ascii="仿宋" w:hAnsi="仿宋" w:eastAsia="仿宋" w:cs="仿宋"/>
          <w:i w:val="0"/>
          <w:iCs w:val="0"/>
          <w:caps w:val="0"/>
          <w:spacing w:val="0"/>
          <w:sz w:val="28"/>
          <w:szCs w:val="28"/>
          <w:shd w:val="clear"/>
          <w:lang w:val="en-US" w:eastAsia="zh-CN"/>
        </w:rPr>
        <w:t>“政府采购严重违法失信行为信息记录”中的禁止参加政府采购活动期间。（以资格审查人员于投标截止时间当天在“信用中国”网站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及中国政府采购网</w:t>
      </w:r>
      <w:r>
        <w:rPr>
          <w:rFonts w:hint="default" w:ascii="Times New Roman" w:hAnsi="Times New Roman" w:eastAsia="仿宋" w:cs="Times New Roman"/>
          <w:i w:val="0"/>
          <w:iCs w:val="0"/>
          <w:caps w:val="0"/>
          <w:spacing w:val="0"/>
          <w:sz w:val="28"/>
          <w:szCs w:val="28"/>
          <w:shd w:val="clear"/>
          <w:lang w:val="en-US" w:eastAsia="zh-CN"/>
        </w:rPr>
        <w:t>（http://www.ccgp.gov.cn/）</w:t>
      </w:r>
      <w:r>
        <w:rPr>
          <w:rFonts w:hint="eastAsia" w:ascii="仿宋" w:hAnsi="仿宋" w:eastAsia="仿宋" w:cs="仿宋"/>
          <w:i w:val="0"/>
          <w:iCs w:val="0"/>
          <w:caps w:val="0"/>
          <w:spacing w:val="0"/>
          <w:sz w:val="28"/>
          <w:szCs w:val="28"/>
          <w:shd w:val="clear"/>
          <w:lang w:val="en-US" w:eastAsia="zh-CN"/>
        </w:rPr>
        <w:t>查询结果为准，如相关失信记录已失效，供应商需提供相关证明资料）。</w:t>
      </w:r>
    </w:p>
    <w:p>
      <w:pPr>
        <w:keepNext w:val="0"/>
        <w:keepLines w:val="0"/>
        <w:pageBreakBefore w:val="0"/>
        <w:widowControl w:val="0"/>
        <w:kinsoku/>
        <w:wordWrap/>
        <w:overflowPunct/>
        <w:topLinePunct w:val="0"/>
        <w:bidi w:val="0"/>
        <w:adjustRightInd/>
        <w:snapToGrid/>
        <w:spacing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单位负责人为同一人或者存在直接控股、管理关系的不同供应商，不得同时参加本招标项目投标（响应）。为本项目提供整体设计、规范编制或者项目管理、监理、检测等服务的供应商，不得再参与本项目投标（响应）。提供《投标人资格声明函》（格式可参照招标公告附件）。</w:t>
      </w:r>
    </w:p>
    <w:p>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Lines="-2147483648" w:beforeAutospacing="0" w:after="225" w:afterAutospacing="0" w:line="240" w:lineRule="auto"/>
        <w:ind w:right="0" w:rightChars="0"/>
        <w:jc w:val="left"/>
        <w:textAlignment w:val="auto"/>
        <w:rPr>
          <w:rFonts w:hint="eastAsia" w:ascii="黑体" w:hAnsi="黑体" w:eastAsia="黑体" w:cs="黑体"/>
          <w:b w:val="0"/>
          <w:bCs w:val="0"/>
          <w:i w:val="0"/>
          <w:iCs w:val="0"/>
          <w:caps w:val="0"/>
          <w:color w:val="000000" w:themeColor="text1"/>
          <w:spacing w:val="0"/>
          <w:sz w:val="28"/>
          <w:szCs w:val="28"/>
          <w:shd w:val="clear"/>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三、获取采购文件</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时间：2026年6月17日至2026年7月01日（上班时间段：8:00-12:00,14:00-17:00，节假日除外）。</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eastAsia="zh-CN"/>
        </w:rPr>
        <w:t>方式：</w:t>
      </w:r>
      <w:r>
        <w:rPr>
          <w:rFonts w:hint="eastAsia" w:ascii="仿宋" w:hAnsi="仿宋" w:eastAsia="仿宋" w:cs="仿宋"/>
          <w:i w:val="0"/>
          <w:iCs w:val="0"/>
          <w:caps w:val="0"/>
          <w:spacing w:val="0"/>
          <w:sz w:val="28"/>
          <w:szCs w:val="28"/>
          <w:shd w:val="clear"/>
          <w:lang w:val="en-US" w:eastAsia="zh-CN"/>
        </w:rPr>
        <w:t>投标人从公告链接自行下载并填写《报名表》（见附件）。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四、响应文件提交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截止时间：2026年7月01日14时30分（北京时间）。</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地点：珠海市香洲区第二人民医院保障楼207室。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响应文件份数：正本一份，副本两份。</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说明：响应文件需密闭投递，投递文件封面需注明参加的项目、提交单位、联系人、联系电话等信息并加盖公章。</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五、开启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时间：2026年7月01日14时30分（北京时间）（自招标文件开始发出之日起至投标人提交投标文件截至之日止，不得少于5个自然日）。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六、公告期限</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自本公告发布之日起5个工作日。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七</w:t>
      </w:r>
      <w:r>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t>、凡对本次采购提出询问，请按以下方式联系</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default" w:ascii="仿宋" w:hAnsi="仿宋" w:eastAsia="仿宋" w:cs="仿宋"/>
          <w:sz w:val="28"/>
          <w:szCs w:val="28"/>
          <w:lang w:val="en-US"/>
        </w:rPr>
        <w:t>招标</w:t>
      </w:r>
      <w:r>
        <w:rPr>
          <w:rFonts w:hint="eastAsia" w:ascii="仿宋" w:hAnsi="仿宋" w:eastAsia="仿宋" w:cs="仿宋"/>
          <w:i w:val="0"/>
          <w:iCs w:val="0"/>
          <w:caps w:val="0"/>
          <w:spacing w:val="0"/>
          <w:sz w:val="28"/>
          <w:szCs w:val="28"/>
          <w:shd w:val="clear"/>
          <w:lang w:val="en-US" w:eastAsia="zh-CN"/>
        </w:rPr>
        <w:t>人信息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名称：珠海市香洲区第二人民医院</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地址：珠海市香洲区南屏镇南泉路21号</w:t>
      </w:r>
      <w:bookmarkStart w:id="150" w:name="_GoBack"/>
      <w:bookmarkEnd w:id="150"/>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联系人：李老师，联系电话：0756-8288723</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default"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邮箱：</w:t>
      </w:r>
      <w:r>
        <w:rPr>
          <w:rFonts w:hint="default" w:ascii="Times New Roman" w:hAnsi="Times New Roman" w:eastAsia="仿宋" w:cs="Times New Roman"/>
          <w:i w:val="0"/>
          <w:iCs w:val="0"/>
          <w:caps w:val="0"/>
          <w:spacing w:val="0"/>
          <w:sz w:val="28"/>
          <w:szCs w:val="28"/>
          <w:shd w:val="clear"/>
          <w:lang w:val="en-US" w:eastAsia="zh-CN"/>
        </w:rPr>
        <w:t>xzqdermyyll@zhuhai.gov.cn</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440" w:leftChars="200" w:firstLineChars="0"/>
        <w:textAlignment w:val="auto"/>
        <w:rPr>
          <w:rFonts w:hint="eastAsia" w:ascii="仿宋" w:hAnsi="仿宋" w:eastAsia="仿宋" w:cs="仿宋"/>
          <w:i w:val="0"/>
          <w:caps w:val="0"/>
          <w:spacing w:val="0"/>
          <w:sz w:val="28"/>
          <w:szCs w:val="28"/>
          <w:shd w:val="clear"/>
          <w:lang w:val="en-US" w:eastAsia="zh-CN"/>
        </w:rPr>
      </w:pPr>
      <w:r>
        <w:rPr>
          <w:rFonts w:hint="eastAsia" w:ascii="仿宋" w:hAnsi="仿宋" w:eastAsia="仿宋" w:cs="仿宋"/>
          <w:i w:val="0"/>
          <w:caps w:val="0"/>
          <w:spacing w:val="0"/>
          <w:sz w:val="28"/>
          <w:szCs w:val="28"/>
          <w:shd w:val="clear"/>
          <w:lang w:val="en-US" w:eastAsia="zh-CN"/>
        </w:rPr>
        <w:t>附件：1.报名表</w:t>
      </w:r>
    </w:p>
    <w:p>
      <w:pPr>
        <w:keepNext w:val="0"/>
        <w:keepLines w:val="0"/>
        <w:pageBreakBefore w:val="0"/>
        <w:kinsoku/>
        <w:wordWrap/>
        <w:overflowPunct/>
        <w:topLinePunct w:val="0"/>
        <w:bidi w:val="0"/>
        <w:adjustRightInd/>
        <w:snapToGrid/>
        <w:spacing w:before="0" w:after="0" w:line="500" w:lineRule="exact"/>
        <w:ind w:left="440" w:leftChars="200" w:firstLine="840" w:firstLineChars="300"/>
        <w:textAlignment w:val="auto"/>
        <w:rPr>
          <w:rFonts w:hint="eastAsia" w:ascii="宋体" w:hAnsi="宋体" w:eastAsia="宋体" w:cs="宋体"/>
          <w:color w:val="auto"/>
          <w:sz w:val="24"/>
          <w:szCs w:val="24"/>
        </w:rPr>
      </w:pPr>
      <w:r>
        <w:rPr>
          <w:rFonts w:hint="eastAsia" w:ascii="仿宋" w:hAnsi="仿宋" w:eastAsia="仿宋" w:cs="仿宋"/>
          <w:i w:val="0"/>
          <w:caps w:val="0"/>
          <w:spacing w:val="0"/>
          <w:sz w:val="28"/>
          <w:szCs w:val="28"/>
          <w:shd w:val="clear"/>
          <w:lang w:val="en-US" w:eastAsia="zh-CN"/>
        </w:rPr>
        <w:t>2.招标文件</w:t>
      </w:r>
    </w:p>
    <w:p>
      <w:pPr>
        <w:pStyle w:val="14"/>
        <w:keepNext w:val="0"/>
        <w:keepLines w:val="0"/>
        <w:pageBreakBefore w:val="0"/>
        <w:widowControl w:val="0"/>
        <w:kinsoku/>
        <w:wordWrap/>
        <w:overflowPunct/>
        <w:topLinePunct w:val="0"/>
        <w:autoSpaceDE w:val="0"/>
        <w:autoSpaceDN w:val="0"/>
        <w:bidi w:val="0"/>
        <w:adjustRightInd/>
        <w:snapToGrid/>
        <w:spacing w:after="0" w:line="579" w:lineRule="exact"/>
        <w:ind w:left="0" w:leftChars="0" w:firstLine="0" w:firstLineChars="0"/>
        <w:textAlignment w:val="auto"/>
        <w:rPr>
          <w:rFonts w:hint="eastAsia" w:ascii="仿宋_GB2312" w:hAnsi="仿宋_GB2312" w:eastAsia="仿宋_GB2312" w:cs="仿宋_GB2312"/>
          <w:i w:val="0"/>
          <w:caps w:val="0"/>
          <w:color w:val="auto"/>
          <w:spacing w:val="0"/>
          <w:sz w:val="28"/>
          <w:szCs w:val="28"/>
          <w:shd w:val="clear" w:fill="FFFFFF"/>
          <w:lang w:eastAsia="zh-CN"/>
        </w:rPr>
        <w:sectPr>
          <w:pgSz w:w="11906" w:h="16838"/>
          <w:pgMar w:top="1434" w:right="1474" w:bottom="1434" w:left="1474" w:header="851" w:footer="992" w:gutter="0"/>
          <w:pgNumType w:fmt="decimal"/>
          <w:cols w:space="425" w:num="1"/>
          <w:docGrid w:type="lines" w:linePitch="312" w:charSpace="0"/>
        </w:sectPr>
      </w:pPr>
    </w:p>
    <w:p>
      <w:pPr>
        <w:spacing w:line="360" w:lineRule="auto"/>
        <w:jc w:val="center"/>
        <w:rPr>
          <w:rFonts w:hint="eastAsia" w:ascii="宋体" w:hAnsi="宋体" w:cs="宋体"/>
          <w:b/>
          <w:kern w:val="28"/>
          <w:sz w:val="32"/>
          <w:szCs w:val="32"/>
          <w:lang w:val="en-US" w:eastAsia="zh-CN"/>
        </w:rPr>
      </w:pPr>
      <w:r>
        <w:rPr>
          <w:rFonts w:hint="eastAsia" w:cs="宋体"/>
          <w:b/>
          <w:kern w:val="28"/>
          <w:sz w:val="32"/>
          <w:szCs w:val="32"/>
          <w:lang w:val="en-US" w:eastAsia="zh-CN"/>
        </w:rPr>
        <w:t>第二部分 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eastAsia" w:cs="宋体"/>
          <w:b/>
          <w:bCs/>
          <w:sz w:val="21"/>
          <w:szCs w:val="21"/>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1.投标人须对本项目为单位的货物及服务进行整体响应，任何只对采购标的或者服务内容其中一部分内容进行的响应都被视为无效投标。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2.用户需求书中标注“★”号部分为关键技术参数、功能、要求，任何对这些项目的负偏离将被视为未实质性响应招标文件要求而作无效投标处理。投标文件中须按照“★”条款的要求逐条响应（若要求提供其他证明材料，还须提供要求的证明材料），“★”条款技术指标负偏离或者未响应，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3.用户需求书中标注“▲”号条款为重要技术参数，投标文件中须按照“▲”条款的要求逐条响应并标注证明文件所在页码（若要求提供其他证明材料，还须提供要求的证明材料），“▲”条款技术指标负偏离或者未响应，对应项将不予以计分。但不作为无效投标条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4.投标报价（总价）中不得包含招标文件要求以外的内容，否则，在评标时不予核减。若投标报价有缺漏项的，缺漏项部分的价格视为已包含在投标报价中，中标后不作任何调整。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5.本项目采购标的对应的中小微企业划分标准所属行业为：其他未列明行业。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1.项目名称：珠海市香洲区第二人民医院</w:t>
      </w:r>
      <w:r>
        <w:rPr>
          <w:rFonts w:hint="eastAsia" w:ascii="Times New Roman" w:hAnsi="Times New Roman" w:cs="Times New Roman"/>
          <w:b w:val="0"/>
          <w:bCs w:val="0"/>
          <w:sz w:val="24"/>
          <w:szCs w:val="24"/>
          <w:lang w:val="en-US" w:eastAsia="zh-CN"/>
        </w:rPr>
        <w:t>手术室净化系统维保和高效过滤器更换采购</w:t>
      </w:r>
      <w:r>
        <w:rPr>
          <w:rFonts w:hint="default" w:ascii="Times New Roman" w:hAnsi="Times New Roman" w:eastAsia="宋体" w:cs="Times New Roman"/>
          <w:b w:val="0"/>
          <w:bCs w:val="0"/>
          <w:sz w:val="24"/>
          <w:szCs w:val="24"/>
          <w:lang w:val="en-US" w:eastAsia="zh-CN"/>
        </w:rPr>
        <w:t>项目</w:t>
      </w:r>
    </w:p>
    <w:p>
      <w:pPr>
        <w:pStyle w:val="24"/>
        <w:spacing w:line="360" w:lineRule="auto"/>
        <w:ind w:firstLine="480" w:firstLineChars="200"/>
        <w:rPr>
          <w:rFonts w:hint="eastAsia" w:ascii="Times New Roman" w:hAnsi="Times New Roman" w:eastAsia="宋体" w:cs="Times New Roman"/>
          <w:b w:val="0"/>
          <w:bCs w:val="0"/>
          <w:sz w:val="24"/>
          <w:szCs w:val="24"/>
          <w:lang w:val="en-US" w:eastAsia="zh-CN" w:bidi="zh-CN"/>
        </w:rPr>
      </w:pPr>
      <w:r>
        <w:rPr>
          <w:rFonts w:hint="default" w:ascii="Times New Roman" w:hAnsi="Times New Roman" w:cs="Times New Roman"/>
          <w:b w:val="0"/>
          <w:bCs w:val="0"/>
          <w:sz w:val="24"/>
          <w:szCs w:val="24"/>
          <w:lang w:val="en-US" w:eastAsia="zh-CN"/>
        </w:rPr>
        <w:t>2.</w:t>
      </w:r>
      <w:r>
        <w:rPr>
          <w:rFonts w:hint="default" w:ascii="Times New Roman" w:hAnsi="Times New Roman" w:eastAsia="宋体" w:cs="Times New Roman"/>
          <w:b w:val="0"/>
          <w:bCs w:val="0"/>
          <w:sz w:val="24"/>
          <w:szCs w:val="24"/>
          <w:lang w:val="en-US" w:eastAsia="zh-CN"/>
        </w:rPr>
        <w:t>服务</w:t>
      </w:r>
      <w:r>
        <w:rPr>
          <w:rFonts w:hint="eastAsia" w:ascii="Times New Roman" w:hAnsi="Times New Roman" w:eastAsia="宋体" w:cs="Times New Roman"/>
          <w:b w:val="0"/>
          <w:bCs w:val="0"/>
          <w:sz w:val="24"/>
          <w:szCs w:val="24"/>
          <w:lang w:val="en-US" w:eastAsia="zh-CN" w:bidi="zh-CN"/>
        </w:rPr>
        <w:t>范围：</w:t>
      </w:r>
      <w:r>
        <w:rPr>
          <w:rFonts w:hint="eastAsia" w:ascii="Times New Roman" w:hAnsi="Times New Roman" w:eastAsia="宋体" w:cs="Times New Roman"/>
          <w:b w:val="0"/>
          <w:bCs w:val="0"/>
          <w:kern w:val="0"/>
          <w:sz w:val="24"/>
          <w:szCs w:val="24"/>
          <w:lang w:val="en-US" w:eastAsia="zh-CN" w:bidi="zh-CN"/>
        </w:rPr>
        <w:t>香</w:t>
      </w:r>
      <w:r>
        <w:rPr>
          <w:rFonts w:hint="eastAsia" w:ascii="Times New Roman" w:hAnsi="Times New Roman" w:eastAsia="宋体" w:cs="Times New Roman"/>
          <w:b w:val="0"/>
          <w:bCs w:val="0"/>
          <w:sz w:val="24"/>
          <w:szCs w:val="24"/>
          <w:lang w:val="en-US" w:eastAsia="zh-CN" w:bidi="zh-CN"/>
        </w:rPr>
        <w:t>洲区第二人民医院住院楼三楼手术室：手术间、麻醉间、洁净走廊、辅房等净化设备、可视门铃电话、空调水系统、净化区域电动门、控制系统等维保及高效过滤器更换。</w:t>
      </w:r>
    </w:p>
    <w:p>
      <w:pPr>
        <w:pStyle w:val="24"/>
        <w:spacing w:line="360" w:lineRule="auto"/>
        <w:ind w:firstLine="480" w:firstLineChars="200"/>
        <w:rPr>
          <w:rFonts w:hint="default" w:ascii="Times New Roman" w:hAnsi="Times New Roman" w:eastAsia="宋体" w:cs="Times New Roman"/>
          <w:b w:val="0"/>
          <w:bCs w:val="0"/>
          <w:sz w:val="24"/>
          <w:szCs w:val="24"/>
          <w:lang w:val="en-US" w:eastAsia="zh-CN" w:bidi="zh-CN"/>
        </w:rPr>
      </w:pPr>
      <w:r>
        <w:rPr>
          <w:rFonts w:hint="eastAsia" w:ascii="Times New Roman" w:hAnsi="Times New Roman" w:eastAsia="宋体" w:cs="Times New Roman"/>
          <w:b w:val="0"/>
          <w:bCs w:val="0"/>
          <w:sz w:val="24"/>
          <w:szCs w:val="24"/>
          <w:lang w:val="en-US" w:eastAsia="zh-CN" w:bidi="zh-CN"/>
        </w:rPr>
        <w:t>3.采购预算：95950.33元</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imes New Roman" w:hAnsi="Times New Roman" w:cs="Times New Roman"/>
          <w:b w:val="0"/>
          <w:bCs w:val="0"/>
          <w:i w:val="0"/>
          <w:iCs w:val="0"/>
          <w:caps w:val="0"/>
          <w:color w:val="000000"/>
          <w:spacing w:val="0"/>
          <w:sz w:val="24"/>
          <w:szCs w:val="24"/>
          <w:lang w:val="en-US" w:eastAsia="zh-CN"/>
        </w:rPr>
      </w:pPr>
      <w:r>
        <w:rPr>
          <w:rFonts w:hint="eastAsia" w:ascii="Times New Roman" w:hAnsi="Times New Roman" w:cs="Times New Roman"/>
          <w:b w:val="0"/>
          <w:bCs w:val="0"/>
          <w:sz w:val="24"/>
          <w:szCs w:val="24"/>
          <w:lang w:val="en-US" w:eastAsia="zh-CN"/>
        </w:rPr>
        <w:t>4</w:t>
      </w:r>
      <w:r>
        <w:rPr>
          <w:rFonts w:hint="default" w:ascii="Times New Roman" w:hAnsi="Times New Roman" w:eastAsia="宋体" w:cs="Times New Roman"/>
          <w:b w:val="0"/>
          <w:bCs w:val="0"/>
          <w:sz w:val="24"/>
          <w:szCs w:val="24"/>
          <w:lang w:val="en-US" w:eastAsia="zh-CN"/>
        </w:rPr>
        <w:t>.服务期限：</w:t>
      </w:r>
      <w:r>
        <w:rPr>
          <w:rFonts w:hint="eastAsia" w:ascii="Times New Roman" w:hAnsi="Times New Roman" w:cs="Times New Roman"/>
          <w:b w:val="0"/>
          <w:bCs w:val="0"/>
          <w:i w:val="0"/>
          <w:iCs w:val="0"/>
          <w:caps w:val="0"/>
          <w:color w:val="000000"/>
          <w:spacing w:val="0"/>
          <w:sz w:val="24"/>
          <w:szCs w:val="24"/>
          <w:lang w:val="en-US" w:eastAsia="zh-CN"/>
        </w:rPr>
        <w:t>1</w:t>
      </w:r>
      <w:r>
        <w:rPr>
          <w:rFonts w:hint="default" w:ascii="Times New Roman" w:hAnsi="Times New Roman" w:eastAsia="宋体" w:cs="Times New Roman"/>
          <w:b w:val="0"/>
          <w:bCs w:val="0"/>
          <w:i w:val="0"/>
          <w:iCs w:val="0"/>
          <w:caps w:val="0"/>
          <w:color w:val="000000"/>
          <w:spacing w:val="0"/>
          <w:sz w:val="24"/>
          <w:szCs w:val="24"/>
          <w:lang w:val="en-US" w:eastAsia="zh-CN"/>
        </w:rPr>
        <w:t>年</w:t>
      </w:r>
      <w:r>
        <w:rPr>
          <w:rFonts w:hint="eastAsia" w:ascii="Times New Roman" w:hAnsi="Times New Roman" w:cs="Times New Roman"/>
          <w:b w:val="0"/>
          <w:bCs w:val="0"/>
          <w:i w:val="0"/>
          <w:iCs w:val="0"/>
          <w:caps w:val="0"/>
          <w:color w:val="000000"/>
          <w:spacing w:val="0"/>
          <w:sz w:val="24"/>
          <w:szCs w:val="24"/>
          <w:lang w:val="en-US" w:eastAsia="zh-CN"/>
        </w:rPr>
        <w:t>（2026年8月8日至2027年8月7日），在合同履约期间，若因采购人实施改扩建项目导致手术室净化系统维保服务采购事项进行调整，采购人有权提前1个月书面通知中标供应商，中标供应商应予以配合并完成相关交接工作，</w:t>
      </w:r>
      <w:r>
        <w:rPr>
          <w:rFonts w:hint="eastAsia" w:ascii="Times New Roman" w:hAnsi="Times New Roman" w:eastAsia="宋体" w:cs="Times New Roman"/>
          <w:color w:val="000000"/>
          <w:spacing w:val="0"/>
          <w:kern w:val="0"/>
          <w:sz w:val="24"/>
          <w:szCs w:val="24"/>
          <w:lang w:val="en-US" w:eastAsia="zh-CN" w:bidi="ar"/>
        </w:rPr>
        <w:t>以实际服务期限据实结算</w:t>
      </w:r>
      <w:r>
        <w:rPr>
          <w:rFonts w:hint="eastAsia" w:ascii="Times New Roman" w:hAnsi="Times New Roman" w:cs="Times New Roman"/>
          <w:b w:val="0"/>
          <w:bCs w:val="0"/>
          <w:i w:val="0"/>
          <w:iCs w:val="0"/>
          <w:caps w:val="0"/>
          <w:color w:val="000000"/>
          <w:spacing w:val="0"/>
          <w:sz w:val="24"/>
          <w:szCs w:val="24"/>
          <w:lang w:val="en-US" w:eastAsia="zh-CN"/>
        </w:rPr>
        <w:t>。因上述调整导致合同无法继续履行的，双方可协商解除合同，采购人不承担违约责任。</w:t>
      </w:r>
    </w:p>
    <w:p>
      <w:pPr>
        <w:pStyle w:val="9"/>
        <w:spacing w:line="360" w:lineRule="auto"/>
        <w:ind w:firstLine="482" w:firstLineChars="200"/>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二、手术室净化系统维保清单</w:t>
      </w:r>
    </w:p>
    <w:tbl>
      <w:tblPr>
        <w:tblStyle w:val="17"/>
        <w:tblW w:w="946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75"/>
        <w:gridCol w:w="2535"/>
        <w:gridCol w:w="885"/>
        <w:gridCol w:w="66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序号</w:t>
            </w:r>
          </w:p>
        </w:tc>
        <w:tc>
          <w:tcPr>
            <w:tcW w:w="277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项目名称</w:t>
            </w:r>
          </w:p>
        </w:tc>
        <w:tc>
          <w:tcPr>
            <w:tcW w:w="253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规格型号</w:t>
            </w:r>
          </w:p>
        </w:tc>
        <w:tc>
          <w:tcPr>
            <w:tcW w:w="88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单位</w:t>
            </w:r>
          </w:p>
        </w:tc>
        <w:tc>
          <w:tcPr>
            <w:tcW w:w="660"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数量</w:t>
            </w:r>
          </w:p>
        </w:tc>
        <w:tc>
          <w:tcPr>
            <w:tcW w:w="187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1</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恒温恒湿组合洁净风柜</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组合式申凌/盛宏</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2</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空调外主机</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申凌/盛宏</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3</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室内情报控制面板</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一拖多</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4</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主控制电箱（控制器）</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0"/>
                <w:szCs w:val="20"/>
                <w:u w:val="none"/>
                <w:lang w:val="en-US" w:eastAsia="zh-CN" w:bidi="ar"/>
              </w:rPr>
              <w:t>西门子PLC控制主电箱</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5</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医用电动气密门</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自动门</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6</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对讲可视门铃</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一拖二可视对讲</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2"/>
                <w:szCs w:val="22"/>
                <w:u w:val="none"/>
                <w:lang w:val="en-US" w:eastAsia="zh-CN" w:bidi="ar"/>
              </w:rPr>
              <w:t>7</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空调初效过滤网更换</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495*495*46</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40</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auto"/>
                <w:kern w:val="0"/>
                <w:sz w:val="22"/>
                <w:szCs w:val="22"/>
                <w:u w:val="none"/>
                <w:lang w:val="en-US" w:eastAsia="zh-CN" w:bidi="ar"/>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eastAsia"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27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空调初效过滤网更换</w:t>
            </w:r>
          </w:p>
        </w:tc>
        <w:tc>
          <w:tcPr>
            <w:tcW w:w="253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495*595*46</w:t>
            </w:r>
          </w:p>
        </w:tc>
        <w:tc>
          <w:tcPr>
            <w:tcW w:w="88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16</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auto"/>
                <w:kern w:val="0"/>
                <w:sz w:val="22"/>
                <w:szCs w:val="22"/>
                <w:u w:val="none"/>
                <w:lang w:val="en-US" w:eastAsia="zh-CN" w:bidi="ar"/>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eastAsia"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9</w:t>
            </w:r>
          </w:p>
        </w:tc>
        <w:tc>
          <w:tcPr>
            <w:tcW w:w="27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空调初效过滤网更换</w:t>
            </w:r>
          </w:p>
        </w:tc>
        <w:tc>
          <w:tcPr>
            <w:tcW w:w="253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295*495*46</w:t>
            </w:r>
          </w:p>
        </w:tc>
        <w:tc>
          <w:tcPr>
            <w:tcW w:w="88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16</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auto"/>
                <w:kern w:val="0"/>
                <w:sz w:val="22"/>
                <w:szCs w:val="22"/>
                <w:u w:val="none"/>
                <w:lang w:val="en-US" w:eastAsia="zh-CN" w:bidi="ar"/>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2"/>
                <w:szCs w:val="22"/>
                <w:u w:val="none"/>
                <w:lang w:val="en-US" w:eastAsia="zh-CN" w:bidi="ar"/>
              </w:rPr>
              <w:t>10</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空调中效过滤网更换</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495*495*20厚*300*5P</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20</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2"/>
                <w:szCs w:val="22"/>
                <w:u w:val="none"/>
                <w:lang w:val="en-US" w:eastAsia="zh-CN" w:bidi="ar"/>
              </w:rPr>
              <w:t>11</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空调中效过滤网更换</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495*595*20厚*300*5P</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8</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空调中效过滤网更换</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295*495*20厚*300*3P</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8</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eastAsia"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13</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空调中效过滤网清洗</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495*495*20厚*300*5P</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20</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14</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空调中效过滤网清洗</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495*595*20厚*300*5P</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8</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空调中效过滤网清洗</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295*495*20厚*300*3P</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8</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16</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百级初效过滤网更换</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495*595*46</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8</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17</w:t>
            </w:r>
          </w:p>
        </w:tc>
        <w:tc>
          <w:tcPr>
            <w:tcW w:w="27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百级初效过滤网更换</w:t>
            </w:r>
          </w:p>
        </w:tc>
        <w:tc>
          <w:tcPr>
            <w:tcW w:w="253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295*495*46</w:t>
            </w:r>
          </w:p>
        </w:tc>
        <w:tc>
          <w:tcPr>
            <w:tcW w:w="88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8</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18</w:t>
            </w:r>
          </w:p>
        </w:tc>
        <w:tc>
          <w:tcPr>
            <w:tcW w:w="27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百级中效过滤袋更换</w:t>
            </w:r>
          </w:p>
        </w:tc>
        <w:tc>
          <w:tcPr>
            <w:tcW w:w="253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495*595*500</w:t>
            </w:r>
          </w:p>
        </w:tc>
        <w:tc>
          <w:tcPr>
            <w:tcW w:w="88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4</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19</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百级中效过滤袋更换</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295*595*500</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20</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空调中效过滤网清洗</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495*595*500</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21</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空调中效过滤网清洗</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295*595*500</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22</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百级室内回风过滤器更换</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不规则1175*285*50</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32</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23</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1"/>
                <w:szCs w:val="21"/>
                <w:u w:val="none"/>
                <w:lang w:val="en-US" w:eastAsia="zh-CN" w:bidi="ar"/>
              </w:rPr>
              <w:t>送风柜排水盘清洗及疏通</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1-2-3-5-6室、走廓共5台</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次</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auto"/>
                <w:kern w:val="0"/>
                <w:sz w:val="22"/>
                <w:szCs w:val="22"/>
                <w:u w:val="none"/>
                <w:lang w:val="en-US" w:eastAsia="zh-CN" w:bidi="ar"/>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24</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000000"/>
                <w:sz w:val="24"/>
                <w:szCs w:val="24"/>
                <w:lang w:val="en-US" w:eastAsia="zh-CN"/>
              </w:rPr>
              <w:t>高效过滤器散流面板</w:t>
            </w:r>
          </w:p>
        </w:tc>
        <w:tc>
          <w:tcPr>
            <w:tcW w:w="253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37</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92D050"/>
                <w:sz w:val="22"/>
                <w:szCs w:val="24"/>
                <w:lang w:val="en-US" w:eastAsia="zh-CN"/>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5</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92D05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一年一次洁净度检测洁净度检测（每室检二点）</w:t>
            </w:r>
          </w:p>
        </w:tc>
        <w:tc>
          <w:tcPr>
            <w:tcW w:w="2535" w:type="dxa"/>
            <w:vAlign w:val="center"/>
          </w:tcPr>
          <w:p>
            <w:pPr>
              <w:keepNext w:val="0"/>
              <w:keepLines w:val="0"/>
              <w:widowControl/>
              <w:suppressLineNumbers w:val="0"/>
              <w:ind w:left="0" w:leftChars="0" w:right="0" w:rightChars="0"/>
              <w:jc w:val="left"/>
              <w:textAlignment w:val="center"/>
              <w:rPr>
                <w:rFonts w:hint="default" w:ascii="宋体" w:hAnsi="宋体"/>
                <w:color w:val="92D050"/>
                <w:sz w:val="22"/>
                <w:szCs w:val="24"/>
                <w:lang w:val="en-US" w:eastAsia="zh-CN"/>
              </w:rPr>
            </w:pPr>
            <w:r>
              <w:rPr>
                <w:rFonts w:hint="eastAsia" w:ascii="宋体" w:hAnsi="宋体" w:eastAsia="宋体" w:cs="宋体"/>
                <w:i w:val="0"/>
                <w:iCs w:val="0"/>
                <w:color w:val="000000"/>
                <w:kern w:val="0"/>
                <w:sz w:val="22"/>
                <w:szCs w:val="22"/>
                <w:u w:val="none"/>
                <w:lang w:val="en-US" w:eastAsia="zh-CN" w:bidi="ar"/>
              </w:rPr>
              <w:t>1-2-3-6室 洁净度万级，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5室为百级、其它辅助室及走廓10万级</w:t>
            </w:r>
          </w:p>
        </w:tc>
        <w:tc>
          <w:tcPr>
            <w:tcW w:w="885" w:type="dxa"/>
            <w:vAlign w:val="center"/>
          </w:tcPr>
          <w:p>
            <w:pPr>
              <w:keepNext w:val="0"/>
              <w:keepLines w:val="0"/>
              <w:widowControl/>
              <w:suppressLineNumbers w:val="0"/>
              <w:ind w:left="0" w:leftChars="0" w:right="0" w:rightChars="0"/>
              <w:jc w:val="center"/>
              <w:textAlignment w:val="center"/>
              <w:rPr>
                <w:rFonts w:hint="default" w:ascii="宋体" w:hAnsi="宋体"/>
                <w:color w:val="92D050"/>
                <w:sz w:val="22"/>
                <w:szCs w:val="24"/>
                <w:lang w:val="en-US" w:eastAsia="zh-CN"/>
              </w:rPr>
            </w:pPr>
            <w:r>
              <w:rPr>
                <w:rFonts w:hint="eastAsia" w:ascii="宋体" w:hAnsi="宋体" w:eastAsia="宋体" w:cs="宋体"/>
                <w:i w:val="0"/>
                <w:iCs w:val="0"/>
                <w:color w:val="000000"/>
                <w:kern w:val="0"/>
                <w:sz w:val="21"/>
                <w:szCs w:val="21"/>
                <w:u w:val="none"/>
                <w:lang w:val="en-US" w:eastAsia="zh-CN" w:bidi="ar"/>
              </w:rPr>
              <w:t>项</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92D050"/>
                <w:sz w:val="22"/>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875" w:type="dxa"/>
            <w:vAlign w:val="center"/>
          </w:tcPr>
          <w:p>
            <w:pPr>
              <w:keepNext w:val="0"/>
              <w:keepLines w:val="0"/>
              <w:widowControl/>
              <w:suppressLineNumbers w:val="0"/>
              <w:ind w:left="0" w:leftChars="0" w:right="0" w:rightChars="0"/>
              <w:jc w:val="center"/>
              <w:textAlignment w:val="center"/>
              <w:rPr>
                <w:rFonts w:hint="eastAsia" w:ascii="宋体" w:hAnsi="宋体"/>
                <w:color w:val="92D050"/>
                <w:sz w:val="22"/>
                <w:szCs w:val="24"/>
                <w:lang w:val="zh-CN" w:eastAsia="zh-CN"/>
              </w:rPr>
            </w:pPr>
            <w:r>
              <w:rPr>
                <w:rFonts w:hint="eastAsia" w:ascii="宋体" w:hAnsi="宋体" w:eastAsia="宋体" w:cs="宋体"/>
                <w:i w:val="0"/>
                <w:iCs w:val="0"/>
                <w:color w:val="000000"/>
                <w:kern w:val="0"/>
                <w:sz w:val="22"/>
                <w:szCs w:val="22"/>
                <w:u w:val="none"/>
                <w:lang w:val="en-US" w:eastAsia="zh-CN" w:bidi="ar"/>
              </w:rPr>
              <w:t>激光尘埃仪打印结果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三、手术室层流高效过滤器更换</w:t>
      </w:r>
    </w:p>
    <w:tbl>
      <w:tblPr>
        <w:tblStyle w:val="17"/>
        <w:tblW w:w="946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75"/>
        <w:gridCol w:w="2640"/>
        <w:gridCol w:w="780"/>
        <w:gridCol w:w="66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序号</w:t>
            </w:r>
          </w:p>
        </w:tc>
        <w:tc>
          <w:tcPr>
            <w:tcW w:w="277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项目名称</w:t>
            </w:r>
          </w:p>
        </w:tc>
        <w:tc>
          <w:tcPr>
            <w:tcW w:w="2640"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规格型号</w:t>
            </w:r>
          </w:p>
        </w:tc>
        <w:tc>
          <w:tcPr>
            <w:tcW w:w="780"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单位</w:t>
            </w:r>
          </w:p>
        </w:tc>
        <w:tc>
          <w:tcPr>
            <w:tcW w:w="660"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数量</w:t>
            </w:r>
          </w:p>
        </w:tc>
        <w:tc>
          <w:tcPr>
            <w:tcW w:w="1873"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1</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1号手术室高效过滤器</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745*345*220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2</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2号手术室高效过滤器</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745*345*220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3</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3号手术室高效过滤器</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745*345*220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4</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6号手术室高效过滤器</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745*345*220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5</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百级手术室高效过滤器</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1200*675*69</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2"/>
                <w:szCs w:val="22"/>
                <w:u w:val="none"/>
                <w:lang w:val="en-US" w:eastAsia="zh-CN" w:bidi="ar"/>
              </w:rPr>
              <w:t>6</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百级手术室高效过滤器</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950*370*69</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000000"/>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000000"/>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2"/>
                <w:szCs w:val="22"/>
                <w:u w:val="none"/>
                <w:lang w:val="en-US" w:eastAsia="zh-CN" w:bidi="ar"/>
              </w:rPr>
              <w:t>7</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外走廓高效过滤器</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eastAsia"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27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内走廓高效过滤器</w:t>
            </w:r>
          </w:p>
        </w:tc>
        <w:tc>
          <w:tcPr>
            <w:tcW w:w="2640"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eastAsia"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9</w:t>
            </w:r>
          </w:p>
        </w:tc>
        <w:tc>
          <w:tcPr>
            <w:tcW w:w="27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苏醒室</w:t>
            </w:r>
          </w:p>
        </w:tc>
        <w:tc>
          <w:tcPr>
            <w:tcW w:w="2640"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2"/>
                <w:szCs w:val="22"/>
                <w:u w:val="none"/>
                <w:lang w:val="en-US" w:eastAsia="zh-CN" w:bidi="ar"/>
              </w:rPr>
              <w:t>10</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办公室</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auto"/>
                <w:kern w:val="0"/>
                <w:sz w:val="22"/>
                <w:szCs w:val="22"/>
                <w:u w:val="none"/>
                <w:lang w:val="en-US" w:eastAsia="zh-CN" w:bidi="ar"/>
              </w:rPr>
              <w:t>11</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缓冲间</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320*320*220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设备间</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eastAsia"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13</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无菌敷料间</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14</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无菌器械间</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应急消毒间</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485*485*220</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000000"/>
                <w:kern w:val="0"/>
                <w:sz w:val="21"/>
                <w:szCs w:val="21"/>
                <w:u w:val="none"/>
                <w:lang w:val="en-US" w:eastAsia="zh-CN" w:bidi="ar"/>
              </w:rPr>
              <w:t>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16</w:t>
            </w:r>
          </w:p>
        </w:tc>
        <w:tc>
          <w:tcPr>
            <w:tcW w:w="2775" w:type="dxa"/>
            <w:vAlign w:val="center"/>
          </w:tcPr>
          <w:p>
            <w:pPr>
              <w:keepNext w:val="0"/>
              <w:keepLines w:val="0"/>
              <w:widowControl/>
              <w:suppressLineNumbers w:val="0"/>
              <w:ind w:left="0" w:leftChars="0" w:right="0" w:rightChars="0"/>
              <w:jc w:val="left"/>
              <w:textAlignment w:val="center"/>
              <w:rPr>
                <w:rFonts w:hint="default"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洁净度检测（每室检二点）</w:t>
            </w:r>
          </w:p>
        </w:tc>
        <w:tc>
          <w:tcPr>
            <w:tcW w:w="2640" w:type="dxa"/>
            <w:vAlign w:val="center"/>
          </w:tcPr>
          <w:p>
            <w:pPr>
              <w:keepNext w:val="0"/>
              <w:keepLines w:val="0"/>
              <w:widowControl/>
              <w:suppressLineNumbers w:val="0"/>
              <w:ind w:left="0" w:leftChars="0" w:right="0" w:rightChars="0"/>
              <w:jc w:val="left"/>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激光尘埃机打印结果</w:t>
            </w:r>
          </w:p>
        </w:tc>
        <w:tc>
          <w:tcPr>
            <w:tcW w:w="78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项</w:t>
            </w:r>
          </w:p>
        </w:tc>
        <w:tc>
          <w:tcPr>
            <w:tcW w:w="660" w:type="dxa"/>
            <w:vAlign w:val="center"/>
          </w:tcPr>
          <w:p>
            <w:pPr>
              <w:keepNext w:val="0"/>
              <w:keepLines w:val="0"/>
              <w:widowControl/>
              <w:suppressLineNumbers w:val="0"/>
              <w:ind w:left="0" w:leftChars="0" w:right="0" w:rightChars="0"/>
              <w:jc w:val="center"/>
              <w:textAlignment w:val="center"/>
              <w:rPr>
                <w:rFonts w:hint="default" w:ascii="宋体" w:hAnsi="宋体"/>
                <w:color w:val="auto"/>
                <w:sz w:val="22"/>
                <w:szCs w:val="24"/>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color w:val="auto"/>
                <w:sz w:val="22"/>
                <w:szCs w:val="24"/>
                <w:lang w:val="zh-CN" w:eastAsia="zh-CN"/>
              </w:rPr>
            </w:pPr>
            <w:r>
              <w:rPr>
                <w:rFonts w:hint="eastAsia" w:ascii="宋体" w:hAnsi="宋体" w:eastAsia="宋体" w:cs="宋体"/>
                <w:i w:val="0"/>
                <w:iCs w:val="0"/>
                <w:color w:val="000000"/>
                <w:kern w:val="0"/>
                <w:sz w:val="22"/>
                <w:szCs w:val="22"/>
                <w:u w:val="none"/>
                <w:lang w:val="en-US" w:eastAsia="zh-CN" w:bidi="ar"/>
              </w:rPr>
              <w:t>激光尘埃仪打印结果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Align w:val="center"/>
          </w:tcPr>
          <w:p>
            <w:pPr>
              <w:keepNext w:val="0"/>
              <w:keepLines w:val="0"/>
              <w:widowControl/>
              <w:suppressLineNumbers w:val="0"/>
              <w:ind w:left="0" w:leftChars="0" w:right="0" w:rightChars="0"/>
              <w:jc w:val="center"/>
              <w:textAlignment w:val="center"/>
              <w:rPr>
                <w:rFonts w:hint="default" w:ascii="宋体" w:hAnsi="宋体" w:eastAsia="宋体"/>
                <w:color w:val="auto"/>
                <w:sz w:val="22"/>
                <w:szCs w:val="24"/>
                <w:lang w:val="en-US" w:eastAsia="zh-CN"/>
              </w:rPr>
            </w:pPr>
            <w:r>
              <w:rPr>
                <w:rFonts w:hint="eastAsia" w:ascii="宋体" w:hAnsi="宋体" w:eastAsia="宋体" w:cs="宋体"/>
                <w:i w:val="0"/>
                <w:iCs w:val="0"/>
                <w:color w:val="auto"/>
                <w:kern w:val="0"/>
                <w:sz w:val="22"/>
                <w:szCs w:val="22"/>
                <w:u w:val="none"/>
                <w:lang w:val="en-US" w:eastAsia="zh-CN" w:bidi="ar"/>
              </w:rPr>
              <w:t>17</w:t>
            </w:r>
          </w:p>
        </w:tc>
        <w:tc>
          <w:tcPr>
            <w:tcW w:w="2775" w:type="dxa"/>
            <w:vAlign w:val="center"/>
          </w:tcPr>
          <w:p>
            <w:pPr>
              <w:keepNext w:val="0"/>
              <w:keepLines w:val="0"/>
              <w:widowControl/>
              <w:suppressLineNumbers w:val="0"/>
              <w:ind w:left="0" w:leftChars="0" w:right="0" w:rightChars="0"/>
              <w:jc w:val="left"/>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运费、搬运费</w:t>
            </w:r>
          </w:p>
        </w:tc>
        <w:tc>
          <w:tcPr>
            <w:tcW w:w="2640" w:type="dxa"/>
            <w:vAlign w:val="center"/>
          </w:tcPr>
          <w:p>
            <w:pPr>
              <w:jc w:val="left"/>
              <w:rPr>
                <w:rFonts w:hint="eastAsia" w:ascii="宋体" w:hAnsi="宋体" w:eastAsia="宋体" w:cs="宋体"/>
                <w:color w:val="auto"/>
                <w:sz w:val="22"/>
                <w:szCs w:val="24"/>
                <w:lang w:val="en-US" w:eastAsia="zh-CN" w:bidi="zh-CN"/>
              </w:rPr>
            </w:pPr>
          </w:p>
        </w:tc>
        <w:tc>
          <w:tcPr>
            <w:tcW w:w="78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项</w:t>
            </w:r>
          </w:p>
        </w:tc>
        <w:tc>
          <w:tcPr>
            <w:tcW w:w="66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187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color w:val="auto"/>
                <w:sz w:val="22"/>
                <w:szCs w:val="24"/>
                <w:lang w:val="zh-CN" w:eastAsia="zh-CN" w:bidi="zh-CN"/>
              </w:rPr>
            </w:pPr>
            <w:r>
              <w:rPr>
                <w:rFonts w:hint="eastAsia" w:ascii="宋体" w:hAnsi="宋体" w:eastAsia="宋体" w:cs="宋体"/>
                <w:i w:val="0"/>
                <w:iCs w:val="0"/>
                <w:color w:val="000000"/>
                <w:kern w:val="0"/>
                <w:sz w:val="21"/>
                <w:szCs w:val="21"/>
                <w:u w:val="none"/>
                <w:lang w:val="en-US" w:eastAsia="zh-CN" w:bidi="ar"/>
              </w:rPr>
              <w:t>拆、装</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四</w:t>
      </w:r>
      <w:r>
        <w:rPr>
          <w:rFonts w:hint="eastAsia" w:ascii="宋体" w:hAnsi="宋体" w:eastAsia="宋体" w:cs="宋体"/>
          <w:b/>
          <w:bCs/>
          <w:sz w:val="24"/>
          <w:szCs w:val="24"/>
          <w:lang w:val="en-US" w:eastAsia="zh-CN"/>
        </w:rPr>
        <w:t>、服务要求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1.为我院手术室所有使用、管理的净化系统、医用自动门及可视对讲系统提供日常的维护、保养、检修及紧急故障处理</w:t>
      </w:r>
      <w:r>
        <w:rPr>
          <w:rFonts w:hint="eastAsia" w:cs="宋体"/>
          <w:b w:val="0"/>
          <w:bCs w:val="0"/>
          <w:color w:val="000000"/>
          <w:sz w:val="24"/>
          <w:szCs w:val="24"/>
          <w:lang w:val="en-US" w:eastAsia="zh-CN"/>
        </w:rPr>
        <w:t>及高效过滤器更换</w:t>
      </w:r>
      <w:r>
        <w:rPr>
          <w:rFonts w:hint="eastAsia" w:ascii="宋体" w:hAnsi="宋体" w:eastAsia="宋体" w:cs="宋体"/>
          <w:b w:val="0"/>
          <w:bCs w:val="0"/>
          <w:color w:val="000000"/>
          <w:sz w:val="24"/>
          <w:szCs w:val="24"/>
          <w:lang w:val="en-US" w:eastAsia="zh-CN"/>
        </w:rPr>
        <w:t>服务。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val="en-US" w:eastAsia="zh-CN"/>
        </w:rPr>
        <w:t>本次维保采用全包责任方式，投标人提供劳务及提供维修配件，包括服务范围内的人工费、管理费用、相关工具用具及劳保用品服装的使用费用、维护期内所有正常使用过程中损坏的零部件更换费、材料费</w:t>
      </w:r>
      <w:r>
        <w:rPr>
          <w:rFonts w:hint="eastAsia" w:cs="宋体"/>
          <w:b w:val="0"/>
          <w:bCs w:val="0"/>
          <w:color w:val="000000"/>
          <w:sz w:val="24"/>
          <w:szCs w:val="24"/>
          <w:lang w:val="en-US" w:eastAsia="zh-CN"/>
        </w:rPr>
        <w:t>。</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cs="宋体"/>
          <w:b w:val="0"/>
          <w:bCs w:val="0"/>
          <w:color w:val="000000"/>
          <w:sz w:val="24"/>
          <w:szCs w:val="24"/>
          <w:lang w:val="en-US" w:eastAsia="zh-CN"/>
        </w:rPr>
        <w:t>3.高效过滤器更换包含运费、搬运费、拆装费、</w:t>
      </w:r>
      <w:r>
        <w:rPr>
          <w:rFonts w:hint="eastAsia" w:ascii="宋体" w:hAnsi="宋体" w:eastAsia="宋体" w:cs="宋体"/>
          <w:i w:val="0"/>
          <w:iCs w:val="0"/>
          <w:color w:val="000000"/>
          <w:kern w:val="0"/>
          <w:sz w:val="24"/>
          <w:szCs w:val="24"/>
          <w:u w:val="none"/>
          <w:lang w:val="en-US" w:eastAsia="zh-CN" w:bidi="ar"/>
        </w:rPr>
        <w:t>洁净度检测（每室检二点）</w:t>
      </w:r>
      <w:r>
        <w:rPr>
          <w:rFonts w:hint="eastAsia" w:ascii="宋体" w:hAnsi="宋体" w:eastAsia="宋体" w:cs="宋体"/>
          <w:b w:val="0"/>
          <w:bCs w:val="0"/>
          <w:color w:val="00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五</w:t>
      </w:r>
      <w:r>
        <w:rPr>
          <w:rFonts w:hint="eastAsia" w:ascii="宋体" w:hAnsi="宋体" w:eastAsia="宋体" w:cs="宋体"/>
          <w:b/>
          <w:bCs/>
          <w:sz w:val="24"/>
          <w:szCs w:val="24"/>
          <w:lang w:val="en-US" w:eastAsia="zh-CN"/>
        </w:rPr>
        <w:t>、服务内容</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（一）每月一次全面检查工作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运行前须进行下列各项检查和准备，以确保空调主机、可靠、安全和高效运行:</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室外申凌/盛宏空调主机</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（1）检查制冷剂压力；</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（2）检查压缩机运行状态；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（3）检查翅片管路以及风扇散热状态；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（4）检查彭胀阀、高、低压开关。</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BL2100主控制箱(或西门子控制器)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（1）检查单片机(西门子)微控制器的设定值和机箱散热状态；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（2）检查手术室内控制面板工作报警提示和温、湿度是否正常；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（3）检查电加热交流接触器和分控制继电器；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（4）检查控制箱内是否存在粉尘过量。</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吊顶式组合洁净风柜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（1）检查传动电机和风机的皮带张紧力、轴承是否良好、运行噪音；</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（2）检查初效网、中效袋的卫生清洁；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（3）检查表冷段、混合段、出风段、回风段的箱体清洁以及压力；</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（4）检查电加热器是否工作正常和对地绝缘电阻是否良好；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（5）检查加湿器工作状态和自动供水系统、加热通环水箱是否正常；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（6）检查表冷段的排水是否正常；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（7）检查室外供新风以及排风是否达标。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手术室内回风过滤网和送风高效过滤器、送风层流罩的检查</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（1）检查回风过滤网的清洁度；</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（2）检查高效过滤器的风速是否正常和达标；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（3）检查层流罩风速是否正常和达标；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手术室气密自动门进行下列维保工作，确保正常运行，安全可靠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（1）检查传动机构、道轨固定是否安全；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（2）传动皮带张紧力检查，开关门限位螺丝是否松动；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(3)运行电机是否有噪声；</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(4)检查微控制器和安全光速接收盒；</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(5)检查脚踏红外线探头是否松动；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（6）检查门密封胶条、开关门是否密封；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（7）检查其它必备项目。</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可视化对讲系统每季度进行下列维保工作，确保正常运行，安全可靠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（1）检查可视化对讲系统呼叫、通话、可视等功能是否正常；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（2）检查系统能否远程开锁；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（3）检查系统图像质量是否正常；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（4）检查其它必备项目。</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（二）清洗/更换工作内容</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机组运行期间，定期进行下列清洗工作，确保机组在整个供冷季节运行可靠。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空调主机</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（1）清洗冷凝器翅片、机组：每个月清洗一次。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洁净组合风柜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（1）初效过滤网：3个月更换一次；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（2）中效过滤袋：6个月更换一次，3个月清洗一次；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（3）疏通排水盘排水：每个月清洗一次；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（4）风柜内卫生清洁：每个月清洗一次；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（5）表冷器：每个月清洗一次。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（6）电极加湿器消毒，喷水管路清洗消毒：每个月一次。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手术室内</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（1）手术间内回风过滤网：每个月清洗一次。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（2）高效过滤器(出风)散流面板：3个月清洗一次。(如高效过滤器使用超过2-3年或阻力超过160PA建议更换，更换另作报价)，更换应按GB50333的要求标准。</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（三）一年一次洁净度检测（每室检二点），激光尘埃仪打印结果。</w:t>
      </w:r>
    </w:p>
    <w:p>
      <w:pPr>
        <w:pStyle w:val="2"/>
        <w:ind w:firstLine="480" w:firstLineChars="200"/>
        <w:rPr>
          <w:rFonts w:hint="eastAsia" w:ascii="宋体" w:hAnsi="宋体" w:eastAsia="宋体" w:cs="宋体"/>
          <w:b w:val="0"/>
          <w:bCs w:val="0"/>
          <w:color w:val="000000"/>
          <w:sz w:val="24"/>
          <w:szCs w:val="24"/>
          <w:lang w:val="en-US" w:eastAsia="zh-CN" w:bidi="zh-CN"/>
        </w:rPr>
      </w:pPr>
      <w:r>
        <w:rPr>
          <w:rFonts w:hint="eastAsia" w:hAnsi="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bidi="zh-CN"/>
        </w:rPr>
        <w:t>四）高效过滤器更换要求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1.过滤器防火性能应符合其应用环境的防火要求，所使用的材料应保持性能稳定、不产尘。当有耐腐蚀要求时，所使用的材料应具有相应的防腐性能。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2.过滤器滤料的透过率和阻力应符合GB/T13554-2020标准中同类过滤器滤料的性能要求。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3.过滤器</w:t>
      </w:r>
      <w:r>
        <w:rPr>
          <w:rFonts w:hint="default" w:ascii="宋体" w:hAnsi="宋体" w:eastAsia="宋体" w:cs="宋体"/>
          <w:b w:val="0"/>
          <w:bCs w:val="0"/>
          <w:color w:val="000000"/>
          <w:sz w:val="24"/>
          <w:szCs w:val="24"/>
          <w:lang w:val="en-US" w:eastAsia="zh-CN"/>
        </w:rPr>
        <w:t>滤料的释气性能应满足应用环境的特殊要求。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4.过滤器表面不应有泥、油、黏性物等污染物和损伤，不应出现框架凹凸、扭曲或破裂;表面涂料层不应出现不均匀及剥落等损伤。</w:t>
      </w:r>
    </w:p>
    <w:p>
      <w:pPr>
        <w:spacing w:line="360" w:lineRule="auto"/>
        <w:ind w:firstLine="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5.滤料、分隔物、防护网应无变形，密封垫应无松脱。</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6.洁净度检测（每室检二点），激光尘埃机打印结果。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7.合同签订后，30天内完成高效过滤器的全部更换。</w:t>
      </w:r>
    </w:p>
    <w:p>
      <w:pPr>
        <w:keepNext w:val="0"/>
        <w:keepLines w:val="0"/>
        <w:pageBreakBefore w:val="0"/>
        <w:numPr>
          <w:ilvl w:val="0"/>
          <w:numId w:val="0"/>
        </w:numPr>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bCs/>
          <w:color w:val="000000"/>
          <w:sz w:val="24"/>
          <w:szCs w:val="24"/>
        </w:rPr>
      </w:pPr>
      <w:r>
        <w:rPr>
          <w:rFonts w:hint="eastAsia" w:cs="宋体"/>
          <w:b/>
          <w:bCs/>
          <w:sz w:val="24"/>
          <w:szCs w:val="24"/>
          <w:lang w:val="en-US" w:eastAsia="zh-CN"/>
        </w:rPr>
        <w:t>六</w:t>
      </w:r>
      <w:r>
        <w:rPr>
          <w:rFonts w:hint="eastAsia" w:ascii="宋体" w:hAnsi="宋体" w:eastAsia="宋体" w:cs="宋体"/>
          <w:b/>
          <w:bCs/>
          <w:sz w:val="24"/>
          <w:szCs w:val="24"/>
          <w:lang w:val="en-US" w:eastAsia="zh-CN"/>
        </w:rPr>
        <w:t>、</w:t>
      </w:r>
      <w:r>
        <w:rPr>
          <w:rFonts w:hint="eastAsia" w:ascii="宋体" w:hAnsi="宋体" w:eastAsia="宋体" w:cs="宋体"/>
          <w:b/>
          <w:bCs/>
          <w:color w:val="000000"/>
          <w:sz w:val="24"/>
          <w:szCs w:val="24"/>
        </w:rPr>
        <w:t>商务要求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i w:val="0"/>
          <w:iCs w:val="0"/>
          <w:caps w:val="0"/>
          <w:spacing w:val="0"/>
          <w:sz w:val="24"/>
          <w:szCs w:val="24"/>
          <w:shd w:val="clear"/>
          <w:lang w:val="en-US" w:eastAsia="zh-CN"/>
        </w:rPr>
      </w:pPr>
      <w:r>
        <w:rPr>
          <w:rFonts w:hint="default" w:ascii="Times New Roman" w:hAnsi="Times New Roman" w:eastAsia="宋体" w:cs="Times New Roman"/>
          <w:i w:val="0"/>
          <w:iCs w:val="0"/>
          <w:caps w:val="0"/>
          <w:spacing w:val="0"/>
          <w:sz w:val="24"/>
          <w:szCs w:val="24"/>
          <w:shd w:val="clear"/>
          <w:lang w:val="en-US" w:eastAsia="zh-CN"/>
        </w:rPr>
        <w:t>1.标的提供的时间：</w:t>
      </w:r>
      <w:r>
        <w:rPr>
          <w:rFonts w:hint="eastAsia" w:ascii="Times New Roman" w:hAnsi="Times New Roman" w:cs="Times New Roman"/>
          <w:b w:val="0"/>
          <w:bCs w:val="0"/>
          <w:i w:val="0"/>
          <w:iCs w:val="0"/>
          <w:caps w:val="0"/>
          <w:color w:val="000000"/>
          <w:spacing w:val="0"/>
          <w:sz w:val="24"/>
          <w:szCs w:val="24"/>
          <w:lang w:val="en-US" w:eastAsia="zh-CN"/>
        </w:rPr>
        <w:t>（2026年8月8日至2027年8月7日），在合同履约期间，若因采购人实施改扩建项目导致手术室净化系统维保服务采购事项进行调整，采购人有权提前1个月书面通知中标供应商，中标供应商应予以配合并完成相关交接工作。因上述调整导致合同无法继续履行的，双方可协商解除合同，采购人不承担违约责任</w:t>
      </w:r>
      <w:r>
        <w:rPr>
          <w:rFonts w:hint="default" w:ascii="Times New Roman" w:hAnsi="Times New Roman" w:eastAsia="宋体" w:cs="Times New Roman"/>
          <w:i w:val="0"/>
          <w:iCs w:val="0"/>
          <w:caps w:val="0"/>
          <w:spacing w:val="0"/>
          <w:sz w:val="24"/>
          <w:szCs w:val="24"/>
          <w:shd w:val="clear"/>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i w:val="0"/>
          <w:iCs w:val="0"/>
          <w:caps w:val="0"/>
          <w:spacing w:val="0"/>
          <w:sz w:val="24"/>
          <w:szCs w:val="24"/>
          <w:shd w:val="clear"/>
          <w:lang w:val="en-US" w:eastAsia="zh-CN"/>
        </w:rPr>
      </w:pPr>
      <w:r>
        <w:rPr>
          <w:rFonts w:hint="default" w:ascii="Times New Roman" w:hAnsi="Times New Roman" w:eastAsia="宋体" w:cs="Times New Roman"/>
          <w:i w:val="0"/>
          <w:iCs w:val="0"/>
          <w:caps w:val="0"/>
          <w:spacing w:val="0"/>
          <w:sz w:val="24"/>
          <w:szCs w:val="24"/>
          <w:shd w:val="clear"/>
          <w:lang w:val="en-US" w:eastAsia="zh-CN"/>
        </w:rPr>
        <w:t>2.标的提供的地点：采购人指定地点</w:t>
      </w:r>
      <w:r>
        <w:rPr>
          <w:rFonts w:hint="eastAsia" w:ascii="Times New Roman" w:hAnsi="Times New Roman" w:cs="Times New Roman"/>
          <w:i w:val="0"/>
          <w:iCs w:val="0"/>
          <w:caps w:val="0"/>
          <w:spacing w:val="0"/>
          <w:sz w:val="24"/>
          <w:szCs w:val="24"/>
          <w:shd w:val="clear"/>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付款方式</w:t>
      </w:r>
      <w:r>
        <w:rPr>
          <w:rFonts w:hint="default" w:ascii="Times New Roman" w:hAnsi="Times New Roman" w:eastAsia="宋体" w:cs="Times New Roman"/>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维保服务费</w:t>
      </w:r>
      <w:r>
        <w:rPr>
          <w:rFonts w:hint="default" w:ascii="Times New Roman" w:hAnsi="Times New Roman" w:eastAsia="宋体" w:cs="Times New Roman"/>
          <w:sz w:val="24"/>
          <w:szCs w:val="24"/>
          <w:lang w:val="en-US" w:eastAsia="zh-CN"/>
        </w:rPr>
        <w:t>按</w:t>
      </w:r>
      <w:r>
        <w:rPr>
          <w:rFonts w:hint="default" w:ascii="Times New Roman" w:hAnsi="Times New Roman" w:cs="Times New Roman"/>
          <w:sz w:val="24"/>
          <w:szCs w:val="24"/>
          <w:lang w:val="en-US" w:eastAsia="zh-CN"/>
        </w:rPr>
        <w:t>季</w:t>
      </w:r>
      <w:r>
        <w:rPr>
          <w:rFonts w:hint="default" w:ascii="Times New Roman" w:hAnsi="Times New Roman" w:eastAsia="宋体" w:cs="Times New Roman"/>
          <w:sz w:val="24"/>
          <w:szCs w:val="24"/>
          <w:lang w:val="en-US" w:eastAsia="zh-CN"/>
        </w:rPr>
        <w:t>度</w:t>
      </w:r>
      <w:r>
        <w:rPr>
          <w:rFonts w:hint="default" w:ascii="Times New Roman" w:hAnsi="Times New Roman" w:eastAsia="宋体" w:cs="Times New Roman"/>
          <w:sz w:val="24"/>
          <w:szCs w:val="24"/>
          <w:lang w:eastAsia="zh-CN"/>
        </w:rPr>
        <w:t>支付。中标人根据核准的服务费用开具有效发票，向采购人申请付款，采购人收到发票后，结合中标人</w:t>
      </w:r>
      <w:r>
        <w:rPr>
          <w:rFonts w:hint="default" w:ascii="Times New Roman" w:hAnsi="Times New Roman" w:eastAsia="宋体" w:cs="Times New Roman"/>
          <w:sz w:val="24"/>
          <w:szCs w:val="24"/>
          <w:lang w:val="en-US" w:eastAsia="zh-CN"/>
        </w:rPr>
        <w:t>提供的每次服务记录</w:t>
      </w:r>
      <w:r>
        <w:rPr>
          <w:rFonts w:hint="eastAsia" w:ascii="Times New Roman" w:hAnsi="Times New Roman" w:cs="Times New Roman"/>
          <w:sz w:val="24"/>
          <w:szCs w:val="24"/>
          <w:lang w:val="en-US" w:eastAsia="zh-CN"/>
        </w:rPr>
        <w:t>（报</w:t>
      </w:r>
      <w:r>
        <w:rPr>
          <w:rFonts w:hint="eastAsia" w:ascii="Times New Roman" w:hAnsi="Times New Roman" w:eastAsia="宋体" w:cs="Times New Roman"/>
          <w:sz w:val="24"/>
          <w:szCs w:val="24"/>
          <w:lang w:val="en-US" w:eastAsia="zh-CN"/>
        </w:rPr>
        <w:t>告）</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经</w:t>
      </w:r>
      <w:r>
        <w:rPr>
          <w:rFonts w:hint="default" w:ascii="Times New Roman" w:hAnsi="Times New Roman" w:eastAsia="宋体" w:cs="Times New Roman"/>
          <w:sz w:val="24"/>
          <w:szCs w:val="24"/>
          <w:lang w:eastAsia="zh-CN"/>
        </w:rPr>
        <w:t>核对无误后在</w:t>
      </w:r>
      <w:r>
        <w:rPr>
          <w:rFonts w:hint="eastAsia" w:ascii="Times New Roman" w:hAnsi="Times New Roman" w:eastAsia="宋体" w:cs="Times New Roman"/>
          <w:sz w:val="24"/>
          <w:szCs w:val="24"/>
          <w:lang w:val="en-US" w:eastAsia="zh-CN"/>
        </w:rPr>
        <w:t>60</w:t>
      </w:r>
      <w:r>
        <w:rPr>
          <w:rFonts w:hint="default" w:ascii="Times New Roman" w:hAnsi="Times New Roman" w:eastAsia="宋体" w:cs="Times New Roman"/>
          <w:sz w:val="24"/>
          <w:szCs w:val="24"/>
          <w:lang w:eastAsia="zh-CN"/>
        </w:rPr>
        <w:t>个</w:t>
      </w:r>
      <w:r>
        <w:rPr>
          <w:rFonts w:hint="eastAsia" w:ascii="Times New Roman" w:hAnsi="Times New Roman" w:eastAsia="宋体" w:cs="Times New Roman"/>
          <w:sz w:val="24"/>
          <w:szCs w:val="24"/>
          <w:lang w:val="en-US" w:eastAsia="zh-CN"/>
        </w:rPr>
        <w:t>日历</w:t>
      </w:r>
      <w:r>
        <w:rPr>
          <w:rFonts w:hint="default" w:ascii="Times New Roman" w:hAnsi="Times New Roman" w:eastAsia="宋体" w:cs="Times New Roman"/>
          <w:sz w:val="24"/>
          <w:szCs w:val="24"/>
          <w:lang w:eastAsia="zh-CN"/>
        </w:rPr>
        <w:t>日内支付。</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（2）高效过滤器更换服务费一次性支付。</w:t>
      </w:r>
      <w:r>
        <w:rPr>
          <w:rFonts w:hint="eastAsia" w:ascii="Times New Roman" w:hAnsi="Times New Roman" w:cs="Times New Roman"/>
          <w:sz w:val="24"/>
          <w:szCs w:val="24"/>
          <w:lang w:val="en-US" w:eastAsia="zh-CN"/>
        </w:rPr>
        <w:t>高效过滤器</w:t>
      </w:r>
      <w:r>
        <w:rPr>
          <w:rFonts w:hint="eastAsia" w:ascii="Times New Roman" w:hAnsi="Times New Roman" w:eastAsia="宋体" w:cs="Times New Roman"/>
          <w:sz w:val="24"/>
          <w:szCs w:val="24"/>
          <w:lang w:val="en-US" w:eastAsia="zh-CN"/>
        </w:rPr>
        <w:t>到货、安装调试、交付且正常使用后，</w:t>
      </w:r>
      <w:r>
        <w:rPr>
          <w:rFonts w:hint="eastAsia" w:ascii="Times New Roman" w:hAnsi="Times New Roman" w:cs="Times New Roman"/>
          <w:sz w:val="24"/>
          <w:szCs w:val="24"/>
          <w:lang w:val="en-US" w:eastAsia="zh-CN"/>
        </w:rPr>
        <w:t>采购人</w:t>
      </w:r>
      <w:r>
        <w:rPr>
          <w:rFonts w:hint="eastAsia" w:ascii="Times New Roman" w:hAnsi="Times New Roman" w:eastAsia="宋体" w:cs="Times New Roman"/>
          <w:sz w:val="24"/>
          <w:szCs w:val="24"/>
          <w:lang w:val="en-US" w:eastAsia="zh-CN"/>
        </w:rPr>
        <w:t>按照医院验收相关规定组织验收，经现场验收合格后，</w:t>
      </w:r>
      <w:r>
        <w:rPr>
          <w:rFonts w:hint="default" w:ascii="Times New Roman" w:hAnsi="Times New Roman" w:eastAsia="宋体" w:cs="Times New Roman"/>
          <w:sz w:val="24"/>
          <w:szCs w:val="24"/>
          <w:lang w:eastAsia="zh-CN"/>
        </w:rPr>
        <w:t>中标人根据核准的服务费用开具有效发票，向采购人申请付款，采购人收到发票</w:t>
      </w:r>
      <w:r>
        <w:rPr>
          <w:rFonts w:hint="eastAsia" w:ascii="Times New Roman" w:hAnsi="Times New Roman" w:eastAsia="宋体" w:cs="Times New Roman"/>
          <w:sz w:val="24"/>
          <w:szCs w:val="24"/>
          <w:lang w:val="en-US" w:eastAsia="zh-CN"/>
        </w:rPr>
        <w:t>核对无误后于60个日历日内支付。</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i w:val="0"/>
          <w:iCs w:val="0"/>
          <w:caps w:val="0"/>
          <w:spacing w:val="0"/>
          <w:sz w:val="24"/>
          <w:szCs w:val="24"/>
          <w:shd w:val="clear"/>
          <w:lang w:eastAsia="zh-CN"/>
        </w:rPr>
      </w:pPr>
      <w:r>
        <w:rPr>
          <w:rFonts w:hint="default" w:ascii="Times New Roman" w:hAnsi="Times New Roman" w:eastAsia="宋体" w:cs="Times New Roman"/>
          <w:i w:val="0"/>
          <w:iCs w:val="0"/>
          <w:caps w:val="0"/>
          <w:spacing w:val="0"/>
          <w:sz w:val="24"/>
          <w:szCs w:val="24"/>
          <w:shd w:val="clear"/>
          <w:lang w:val="en-US" w:eastAsia="zh-CN"/>
        </w:rPr>
        <w:t>4.验收要求：</w:t>
      </w:r>
      <w:r>
        <w:rPr>
          <w:rFonts w:hint="default" w:ascii="Times New Roman" w:hAnsi="Times New Roman" w:eastAsia="宋体" w:cs="Times New Roman"/>
          <w:i w:val="0"/>
          <w:iCs w:val="0"/>
          <w:caps w:val="0"/>
          <w:spacing w:val="0"/>
          <w:sz w:val="24"/>
          <w:szCs w:val="24"/>
          <w:shd w:val="clear"/>
          <w:lang w:eastAsia="zh-CN"/>
        </w:rPr>
        <w:t>维保服务作业应符合国家、地方、行业规范，确保</w:t>
      </w:r>
      <w:r>
        <w:rPr>
          <w:rFonts w:hint="eastAsia" w:ascii="Times New Roman" w:hAnsi="Times New Roman" w:cs="Times New Roman"/>
          <w:i w:val="0"/>
          <w:iCs w:val="0"/>
          <w:caps w:val="0"/>
          <w:spacing w:val="0"/>
          <w:sz w:val="24"/>
          <w:szCs w:val="24"/>
          <w:shd w:val="clear"/>
          <w:lang w:val="en-US" w:eastAsia="zh-CN"/>
        </w:rPr>
        <w:t>手术室净化系统</w:t>
      </w:r>
      <w:r>
        <w:rPr>
          <w:rFonts w:hint="default" w:ascii="Times New Roman" w:hAnsi="Times New Roman" w:eastAsia="宋体" w:cs="Times New Roman"/>
          <w:i w:val="0"/>
          <w:iCs w:val="0"/>
          <w:caps w:val="0"/>
          <w:spacing w:val="0"/>
          <w:sz w:val="24"/>
          <w:szCs w:val="24"/>
          <w:shd w:val="clear"/>
          <w:lang w:eastAsia="zh-CN"/>
        </w:rPr>
        <w:t>处于技术状态良好、安全使用的要求。实施日常维护保养后</w:t>
      </w:r>
      <w:r>
        <w:rPr>
          <w:rFonts w:hint="eastAsia" w:ascii="Times New Roman" w:hAnsi="Times New Roman" w:eastAsia="宋体" w:cs="Times New Roman"/>
          <w:i w:val="0"/>
          <w:iCs w:val="0"/>
          <w:caps w:val="0"/>
          <w:spacing w:val="0"/>
          <w:sz w:val="24"/>
          <w:szCs w:val="24"/>
          <w:shd w:val="clear"/>
          <w:lang w:eastAsia="zh-CN"/>
        </w:rPr>
        <w:t>，</w:t>
      </w:r>
      <w:r>
        <w:rPr>
          <w:rFonts w:hint="default" w:ascii="Times New Roman" w:hAnsi="Times New Roman" w:cs="Times New Roman"/>
          <w:sz w:val="24"/>
          <w:szCs w:val="24"/>
        </w:rPr>
        <w:t>中标人</w:t>
      </w:r>
      <w:r>
        <w:rPr>
          <w:rFonts w:hint="eastAsia" w:ascii="Times New Roman" w:hAnsi="Times New Roman" w:cs="Times New Roman"/>
          <w:sz w:val="24"/>
          <w:szCs w:val="24"/>
          <w:lang w:val="en-US" w:eastAsia="zh-CN"/>
        </w:rPr>
        <w:t>按要求时限出具净化系统</w:t>
      </w:r>
      <w:r>
        <w:rPr>
          <w:rFonts w:hint="default" w:ascii="Times New Roman" w:hAnsi="Times New Roman" w:cs="Times New Roman"/>
          <w:sz w:val="24"/>
          <w:szCs w:val="24"/>
        </w:rPr>
        <w:t>维保</w:t>
      </w:r>
      <w:r>
        <w:rPr>
          <w:rFonts w:hint="eastAsia" w:ascii="Times New Roman" w:hAnsi="Times New Roman" w:cs="Times New Roman"/>
          <w:sz w:val="24"/>
          <w:szCs w:val="24"/>
          <w:lang w:val="en-US" w:eastAsia="zh-CN"/>
        </w:rPr>
        <w:t>记录（</w:t>
      </w:r>
      <w:r>
        <w:rPr>
          <w:rFonts w:hint="default" w:ascii="Times New Roman" w:hAnsi="Times New Roman" w:cs="Times New Roman"/>
          <w:sz w:val="24"/>
          <w:szCs w:val="24"/>
          <w:lang w:val="en-US" w:eastAsia="zh-CN"/>
        </w:rPr>
        <w:t>报告</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进行验收</w:t>
      </w:r>
      <w:r>
        <w:rPr>
          <w:rFonts w:hint="default" w:ascii="Times New Roman" w:hAnsi="Times New Roman" w:eastAsia="宋体" w:cs="Times New Roman"/>
          <w:i w:val="0"/>
          <w:iCs w:val="0"/>
          <w:caps w:val="0"/>
          <w:spacing w:val="0"/>
          <w:sz w:val="24"/>
          <w:szCs w:val="24"/>
          <w:shd w:val="clear"/>
        </w:rPr>
        <w:t>，及时提交</w:t>
      </w:r>
      <w:r>
        <w:rPr>
          <w:rFonts w:hint="default" w:ascii="Times New Roman" w:hAnsi="Times New Roman" w:eastAsia="宋体" w:cs="Times New Roman"/>
          <w:i w:val="0"/>
          <w:iCs w:val="0"/>
          <w:caps w:val="0"/>
          <w:spacing w:val="0"/>
          <w:sz w:val="24"/>
          <w:szCs w:val="24"/>
          <w:shd w:val="clear"/>
          <w:lang w:val="en-US" w:eastAsia="zh-CN"/>
        </w:rPr>
        <w:t>记录（报告）文件到</w:t>
      </w:r>
      <w:r>
        <w:rPr>
          <w:rFonts w:hint="eastAsia" w:ascii="Times New Roman" w:hAnsi="Times New Roman" w:cs="Times New Roman"/>
          <w:i w:val="0"/>
          <w:iCs w:val="0"/>
          <w:caps w:val="0"/>
          <w:spacing w:val="0"/>
          <w:sz w:val="24"/>
          <w:szCs w:val="24"/>
          <w:shd w:val="clear"/>
          <w:lang w:val="en-US" w:eastAsia="zh-CN"/>
        </w:rPr>
        <w:t>总务</w:t>
      </w:r>
      <w:r>
        <w:rPr>
          <w:rFonts w:hint="default" w:ascii="Times New Roman" w:hAnsi="Times New Roman" w:eastAsia="宋体" w:cs="Times New Roman"/>
          <w:i w:val="0"/>
          <w:iCs w:val="0"/>
          <w:caps w:val="0"/>
          <w:spacing w:val="0"/>
          <w:sz w:val="24"/>
          <w:szCs w:val="24"/>
          <w:shd w:val="clear"/>
        </w:rPr>
        <w:t>科</w:t>
      </w:r>
      <w:r>
        <w:rPr>
          <w:rFonts w:hint="default" w:ascii="Times New Roman" w:hAnsi="Times New Roman" w:eastAsia="宋体" w:cs="Times New Roman"/>
          <w:i w:val="0"/>
          <w:iCs w:val="0"/>
          <w:caps w:val="0"/>
          <w:spacing w:val="0"/>
          <w:sz w:val="24"/>
          <w:szCs w:val="24"/>
          <w:shd w:val="clear"/>
          <w:lang w:eastAsia="zh-CN"/>
        </w:rPr>
        <w:t>。</w:t>
      </w:r>
      <w:r>
        <w:rPr>
          <w:rFonts w:hint="default" w:ascii="Times New Roman" w:hAnsi="Times New Roman" w:cs="Times New Roman"/>
          <w:sz w:val="24"/>
          <w:szCs w:val="24"/>
        </w:rPr>
        <w:t>中标人提供的服务验收不合格的，采购人有权拒绝验收，并要求中标人按要求进行</w:t>
      </w:r>
      <w:r>
        <w:rPr>
          <w:rFonts w:hint="eastAsia" w:ascii="Times New Roman" w:hAnsi="Times New Roman" w:cs="Times New Roman"/>
          <w:sz w:val="24"/>
          <w:szCs w:val="24"/>
          <w:lang w:val="en-US" w:eastAsia="zh-CN"/>
        </w:rPr>
        <w:t>整改</w:t>
      </w:r>
      <w:r>
        <w:rPr>
          <w:rFonts w:hint="default" w:ascii="Times New Roman" w:hAnsi="Times New Roman" w:cs="Times New Roman"/>
          <w:sz w:val="24"/>
          <w:szCs w:val="24"/>
        </w:rPr>
        <w:t>。</w:t>
      </w:r>
    </w:p>
    <w:p>
      <w:pPr>
        <w:pStyle w:val="26"/>
        <w:keepNext w:val="0"/>
        <w:keepLines w:val="0"/>
        <w:pageBreakBefore w:val="0"/>
        <w:kinsoku/>
        <w:wordWrap/>
        <w:overflowPunct/>
        <w:topLinePunct w:val="0"/>
        <w:autoSpaceDE w:val="0"/>
        <w:autoSpaceDN w:val="0"/>
        <w:bidi w:val="0"/>
        <w:adjustRightInd/>
        <w:snapToGrid/>
        <w:spacing w:line="360" w:lineRule="auto"/>
        <w:ind w:firstLine="482"/>
        <w:textAlignment w:val="auto"/>
        <w:outlineLvl w:val="1"/>
        <w:rPr>
          <w:rFonts w:hint="eastAsia" w:ascii="宋体" w:hAnsi="宋体" w:eastAsia="宋体" w:cs="宋体"/>
          <w:b/>
          <w:bCs/>
          <w:sz w:val="24"/>
          <w:szCs w:val="24"/>
        </w:rPr>
      </w:pPr>
      <w:r>
        <w:rPr>
          <w:rFonts w:hint="eastAsia" w:cs="宋体"/>
          <w:b/>
          <w:bCs/>
          <w:sz w:val="24"/>
          <w:szCs w:val="24"/>
          <w:lang w:val="en-US" w:eastAsia="zh-CN"/>
        </w:rPr>
        <w:t>七</w:t>
      </w:r>
      <w:r>
        <w:rPr>
          <w:rFonts w:hint="eastAsia" w:ascii="宋体" w:hAnsi="宋体" w:eastAsia="宋体" w:cs="宋体"/>
          <w:b/>
          <w:bCs/>
          <w:sz w:val="24"/>
          <w:szCs w:val="24"/>
        </w:rPr>
        <w:t>、评审方法及评审标准</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本项目采用综合评分法。满足采购文件全部实质性要求，且按照评审因素的量化指标评审得分最高的供应商为成交候选人。</w:t>
      </w:r>
    </w:p>
    <w:p>
      <w:pPr>
        <w:pStyle w:val="14"/>
        <w:rPr>
          <w:rFonts w:hint="eastAsia"/>
        </w:rPr>
      </w:pPr>
    </w:p>
    <w:p>
      <w:pPr>
        <w:pStyle w:val="14"/>
        <w:keepNext w:val="0"/>
        <w:keepLines w:val="0"/>
        <w:pageBreakBefore w:val="0"/>
        <w:widowControl w:val="0"/>
        <w:kinsoku/>
        <w:wordWrap/>
        <w:overflowPunct/>
        <w:topLinePunct w:val="0"/>
        <w:autoSpaceDE w:val="0"/>
        <w:autoSpaceDN w:val="0"/>
        <w:bidi w:val="0"/>
        <w:adjustRightInd/>
        <w:snapToGrid/>
        <w:spacing w:after="0" w:line="500" w:lineRule="exact"/>
        <w:ind w:left="0" w:leftChars="0" w:firstLine="560" w:firstLineChars="200"/>
        <w:textAlignment w:val="auto"/>
        <w:rPr>
          <w:rFonts w:hint="eastAsia" w:asciiTheme="minorEastAsia" w:hAnsiTheme="minorEastAsia" w:eastAsiaTheme="minorEastAsia" w:cstheme="minorEastAsia"/>
          <w:i w:val="0"/>
          <w:caps w:val="0"/>
          <w:color w:val="auto"/>
          <w:spacing w:val="0"/>
          <w:sz w:val="28"/>
          <w:szCs w:val="28"/>
          <w:shd w:val="clear" w:fill="FFFFFF"/>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r>
        <w:rPr>
          <w:rFonts w:hint="eastAsia" w:ascii="宋体" w:hAnsi="宋体" w:eastAsia="宋体" w:cs="宋体"/>
          <w:b/>
          <w:color w:val="auto"/>
          <w:sz w:val="36"/>
          <w:szCs w:val="44"/>
          <w:highlight w:val="none"/>
          <w:lang w:val="en-US" w:eastAsia="zh-CN" w:bidi="ar-SA"/>
        </w:rPr>
        <w:t>第三部分  投标人须知前附表</w:t>
      </w:r>
    </w:p>
    <w:p>
      <w:pPr>
        <w:pStyle w:val="6"/>
        <w:tabs>
          <w:tab w:val="left" w:pos="7560"/>
        </w:tabs>
        <w:spacing w:line="360" w:lineRule="auto"/>
        <w:ind w:firstLine="0" w:firstLineChars="0"/>
        <w:jc w:val="center"/>
        <w:rPr>
          <w:rFonts w:hint="eastAsia" w:ascii="宋体" w:hAnsi="宋体" w:cs="宋体"/>
          <w:b/>
          <w:color w:val="auto"/>
          <w:sz w:val="36"/>
          <w:szCs w:val="44"/>
          <w:highlight w:val="none"/>
        </w:rPr>
      </w:pPr>
      <w:r>
        <w:rPr>
          <w:rFonts w:hint="eastAsia" w:ascii="宋体" w:hAnsi="宋体" w:cs="宋体"/>
          <w:b/>
          <w:color w:val="auto"/>
          <w:sz w:val="36"/>
          <w:szCs w:val="44"/>
          <w:highlight w:val="none"/>
        </w:rPr>
        <w:t>投标人须知前附表</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本表是对《投标人须知》的具体补充和说明，如有矛盾，应以本表为准（本表条款号为第七部分相应条款的条款号）。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1"/>
        <w:gridCol w:w="8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条款号</w:t>
            </w:r>
          </w:p>
        </w:tc>
        <w:tc>
          <w:tcPr>
            <w:tcW w:w="8814"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 w:hRule="atLeast"/>
          <w:jc w:val="center"/>
        </w:trPr>
        <w:tc>
          <w:tcPr>
            <w:tcW w:w="9665" w:type="dxa"/>
            <w:gridSpan w:val="2"/>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说</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8814" w:type="dxa"/>
            <w:noWrap w:val="0"/>
            <w:vAlign w:val="center"/>
          </w:tcPr>
          <w:p>
            <w:pPr>
              <w:pStyle w:val="6"/>
              <w:spacing w:line="36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val="en-US" w:eastAsia="zh-CN"/>
              </w:rPr>
              <w:t>珠海市香洲区第二人民医院</w:t>
            </w:r>
            <w:r>
              <w:rPr>
                <w:rFonts w:hint="eastAsia" w:cs="宋体"/>
                <w:color w:val="auto"/>
                <w:sz w:val="21"/>
                <w:szCs w:val="21"/>
                <w:highlight w:val="none"/>
                <w:lang w:val="en-US" w:eastAsia="zh-CN"/>
              </w:rPr>
              <w:t>手术室净化系统维保和高效过滤器更换</w:t>
            </w:r>
            <w:r>
              <w:rPr>
                <w:rFonts w:hint="eastAsia" w:ascii="宋体" w:hAnsi="宋体" w:cs="宋体"/>
                <w:color w:val="auto"/>
                <w:sz w:val="21"/>
                <w:szCs w:val="21"/>
                <w:highlight w:val="none"/>
                <w:lang w:val="en-US" w:eastAsia="zh-CN"/>
              </w:rPr>
              <w:t>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8814" w:type="dxa"/>
            <w:noWrap w:val="0"/>
            <w:vAlign w:val="center"/>
          </w:tcPr>
          <w:p>
            <w:pPr>
              <w:pStyle w:val="6"/>
              <w:spacing w:line="36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olor w:val="auto"/>
                <w:sz w:val="21"/>
                <w:szCs w:val="21"/>
                <w:highlight w:val="none"/>
              </w:rPr>
              <w:t>珠海市香洲区第二人民医院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p>
        </w:tc>
        <w:tc>
          <w:tcPr>
            <w:tcW w:w="8814" w:type="dxa"/>
            <w:noWrap w:val="0"/>
            <w:vAlign w:val="center"/>
          </w:tcPr>
          <w:p>
            <w:pPr>
              <w:pStyle w:val="6"/>
              <w:spacing w:line="36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投标人资格要求：详见招标公告“投标人的资格要求”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2.3</w:t>
            </w:r>
          </w:p>
        </w:tc>
        <w:tc>
          <w:tcPr>
            <w:tcW w:w="8814" w:type="dxa"/>
            <w:noWrap w:val="0"/>
            <w:vAlign w:val="center"/>
          </w:tcPr>
          <w:p>
            <w:pPr>
              <w:pStyle w:val="6"/>
              <w:spacing w:line="36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65" w:type="dxa"/>
            <w:gridSpan w:val="2"/>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8814" w:type="dxa"/>
            <w:noWrap w:val="0"/>
            <w:vAlign w:val="center"/>
          </w:tcPr>
          <w:p>
            <w:pPr>
              <w:pStyle w:val="6"/>
              <w:spacing w:line="36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投标报价：</w:t>
            </w:r>
            <w:r>
              <w:rPr>
                <w:rFonts w:hint="eastAsia" w:cs="宋体"/>
                <w:color w:val="auto"/>
                <w:sz w:val="21"/>
                <w:szCs w:val="21"/>
                <w:highlight w:val="none"/>
                <w:lang w:val="en-US" w:eastAsia="zh-CN"/>
              </w:rPr>
              <w:t>手术室净化系统维保和高效过滤器更换服务</w:t>
            </w:r>
            <w:r>
              <w:rPr>
                <w:rFonts w:hint="eastAsia" w:ascii="宋体" w:hAnsi="宋体" w:cs="宋体"/>
                <w:color w:val="auto"/>
                <w:sz w:val="21"/>
                <w:szCs w:val="21"/>
                <w:highlight w:val="none"/>
              </w:rPr>
              <w:t>整个过程服务中的人工、运输工具、材料等以及不可预见的一切费用，如出现任何遗漏内容需产生额外费用，均由中标人自行承担，采购人将不再另支付任何费用。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投标有效期：开标之日起90个日历日。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投标文件数量：</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（1）纸质投标文件：正本一份，副本贰份。（根据“节约能源、保护环境”的理念，建议投标人采用A4纸、双面打印、胶装）</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（2）电子版投标文件：一份。（投标人根据</w:t>
            </w:r>
            <w:r>
              <w:rPr>
                <w:rFonts w:hint="eastAsia" w:hAnsi="宋体" w:cs="宋体"/>
                <w:color w:val="auto"/>
                <w:sz w:val="21"/>
                <w:szCs w:val="21"/>
                <w:highlight w:val="none"/>
              </w:rPr>
              <w:t>招标文件</w:t>
            </w:r>
            <w:r>
              <w:rPr>
                <w:rFonts w:hint="eastAsia" w:ascii="宋体" w:hAnsi="宋体" w:cs="宋体"/>
                <w:color w:val="auto"/>
                <w:sz w:val="21"/>
                <w:szCs w:val="21"/>
                <w:highlight w:val="none"/>
              </w:rPr>
              <w:t>编制要求制作投标文件</w:t>
            </w:r>
            <w:r>
              <w:rPr>
                <w:rFonts w:hint="eastAsia" w:hAnsi="宋体" w:cs="宋体"/>
                <w:color w:val="auto"/>
                <w:sz w:val="21"/>
                <w:szCs w:val="21"/>
                <w:highlight w:val="none"/>
              </w:rPr>
              <w:t>，</w:t>
            </w:r>
            <w:r>
              <w:rPr>
                <w:rFonts w:hint="eastAsia" w:ascii="宋体" w:hAnsi="宋体" w:cs="宋体"/>
                <w:color w:val="auto"/>
                <w:sz w:val="21"/>
                <w:szCs w:val="21"/>
                <w:highlight w:val="none"/>
              </w:rPr>
              <w:t>签字、盖章</w:t>
            </w:r>
            <w:r>
              <w:rPr>
                <w:rFonts w:hint="eastAsia" w:hAnsi="宋体" w:cs="宋体"/>
                <w:color w:val="auto"/>
                <w:sz w:val="21"/>
                <w:szCs w:val="21"/>
                <w:highlight w:val="none"/>
              </w:rPr>
              <w:t>后</w:t>
            </w:r>
            <w:r>
              <w:rPr>
                <w:rFonts w:hint="eastAsia" w:ascii="宋体" w:hAnsi="宋体" w:cs="宋体"/>
                <w:color w:val="auto"/>
                <w:sz w:val="21"/>
                <w:szCs w:val="21"/>
                <w:highlight w:val="none"/>
              </w:rPr>
              <w:t>将</w:t>
            </w:r>
            <w:r>
              <w:rPr>
                <w:rFonts w:hint="eastAsia" w:hAnsi="宋体" w:cs="宋体"/>
                <w:color w:val="auto"/>
                <w:sz w:val="21"/>
                <w:szCs w:val="21"/>
                <w:highlight w:val="none"/>
              </w:rPr>
              <w:t>正本</w:t>
            </w:r>
            <w:r>
              <w:rPr>
                <w:rFonts w:hint="eastAsia" w:ascii="宋体" w:hAnsi="宋体" w:cs="宋体"/>
                <w:color w:val="auto"/>
                <w:sz w:val="21"/>
                <w:szCs w:val="21"/>
                <w:highlight w:val="none"/>
              </w:rPr>
              <w:t>彩色扫描形成</w:t>
            </w:r>
            <w:r>
              <w:rPr>
                <w:rFonts w:hint="eastAsia" w:hAnsi="宋体" w:cs="宋体"/>
                <w:color w:val="auto"/>
                <w:sz w:val="21"/>
                <w:szCs w:val="21"/>
                <w:highlight w:val="none"/>
              </w:rPr>
              <w:t>PDF格式的</w:t>
            </w:r>
            <w:r>
              <w:rPr>
                <w:rFonts w:hint="eastAsia" w:ascii="宋体" w:hAnsi="宋体" w:cs="宋体"/>
                <w:color w:val="auto"/>
                <w:sz w:val="21"/>
                <w:szCs w:val="21"/>
                <w:highlight w:val="none"/>
              </w:rPr>
              <w:t>电子文档。将PDF电子文档</w:t>
            </w:r>
            <w:r>
              <w:rPr>
                <w:rFonts w:hint="eastAsia" w:hAnsi="宋体" w:cs="宋体"/>
                <w:color w:val="auto"/>
                <w:sz w:val="21"/>
                <w:szCs w:val="21"/>
                <w:highlight w:val="none"/>
              </w:rPr>
              <w:t>以及</w:t>
            </w:r>
            <w:r>
              <w:rPr>
                <w:rFonts w:hint="eastAsia" w:ascii="宋体" w:hAnsi="宋体" w:cs="宋体"/>
                <w:color w:val="auto"/>
                <w:sz w:val="21"/>
                <w:szCs w:val="21"/>
                <w:highlight w:val="none"/>
              </w:rPr>
              <w:t>可编辑word或excel文档刻录成U盘存贮。</w:t>
            </w:r>
            <w:r>
              <w:rPr>
                <w:rFonts w:hint="eastAsia" w:hAnsi="宋体" w:cs="宋体"/>
                <w:b/>
                <w:bCs/>
                <w:color w:val="auto"/>
                <w:sz w:val="22"/>
                <w:szCs w:val="22"/>
                <w:highlight w:val="none"/>
              </w:rPr>
              <w:t>若未按上述要求提供各类电子文档或提供的电子文档与投标文件正本不一致，由此产生的投标风险由投标人自行承担。</w:t>
            </w:r>
            <w:r>
              <w:rPr>
                <w:rFonts w:hint="eastAsia" w:ascii="宋体" w:hAnsi="宋体" w:cs="宋体"/>
                <w:color w:val="auto"/>
                <w:sz w:val="21"/>
                <w:szCs w:val="21"/>
                <w:highlight w:val="none"/>
              </w:rPr>
              <w:t>光盘或U盘重命名为投标人名称与投标文件密封在同一包装提交，提交的光盘或U盘于投标截止时间后不予退还）</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（3）若为分包组项目，各包组应分别准备以上内容。</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注：评审时以纸质投标文件为准。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65" w:type="dxa"/>
            <w:gridSpan w:val="2"/>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提交投标文件截止时间、开标时间及地点详见招标文件第一部分《招标公告》。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65" w:type="dxa"/>
            <w:gridSpan w:val="2"/>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开标、评标、定标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本项目的评标由依法组建的评标委员会负责，其成员由采购人代表等方面的专家组成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8" w:hRule="atLeast"/>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8814" w:type="dxa"/>
            <w:noWrap w:val="0"/>
            <w:vAlign w:val="center"/>
          </w:tcPr>
          <w:p>
            <w:pPr>
              <w:keepLines/>
              <w:tabs>
                <w:tab w:val="left" w:pos="-30"/>
              </w:tabs>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在投标文件初审过程中，如发现下列情况之一的，其投标将被视为未实质性响应招标文件而作无效投标处理：</w:t>
            </w:r>
          </w:p>
          <w:p>
            <w:pPr>
              <w:keepLines/>
              <w:tabs>
                <w:tab w:val="left" w:pos="872"/>
              </w:tabs>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r>
              <w:rPr>
                <w:rFonts w:hint="eastAsia" w:ascii="宋体" w:hAnsi="宋体" w:cs="宋体"/>
                <w:b/>
                <w:bCs/>
                <w:color w:val="auto"/>
                <w:szCs w:val="21"/>
                <w:highlight w:val="none"/>
              </w:rPr>
              <w:t>（不接受电子公章、电子签名或者电子签章)</w:t>
            </w:r>
            <w:r>
              <w:rPr>
                <w:rFonts w:hint="eastAsia" w:ascii="宋体" w:hAnsi="宋体" w:cs="宋体"/>
                <w:color w:val="auto"/>
                <w:szCs w:val="21"/>
                <w:highlight w:val="none"/>
              </w:rPr>
              <w:t>；</w:t>
            </w:r>
          </w:p>
          <w:p>
            <w:pPr>
              <w:keepLines/>
              <w:tabs>
                <w:tab w:val="left" w:pos="872"/>
              </w:tabs>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（2）不具备招标文件中规定的资格要求的；</w:t>
            </w:r>
          </w:p>
          <w:p>
            <w:pPr>
              <w:keepLines/>
              <w:tabs>
                <w:tab w:val="left" w:pos="872"/>
              </w:tabs>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（3）报价高于招标文件中规定的预算金额的；</w:t>
            </w:r>
          </w:p>
          <w:p>
            <w:pPr>
              <w:keepLines/>
              <w:tabs>
                <w:tab w:val="left" w:pos="872"/>
              </w:tabs>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投标文件含有采购人不能接受的附加条件的</w:t>
            </w:r>
            <w:r>
              <w:rPr>
                <w:rFonts w:hint="eastAsia" w:ascii="宋体" w:hAnsi="宋体" w:cs="宋体"/>
                <w:color w:val="auto"/>
                <w:szCs w:val="21"/>
                <w:highlight w:val="none"/>
              </w:rPr>
              <w:t>；</w:t>
            </w:r>
          </w:p>
          <w:p>
            <w:pPr>
              <w:pStyle w:val="6"/>
              <w:spacing w:line="36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0"/>
                <w:highlight w:val="none"/>
              </w:rPr>
              <w:t>（5）法律、法规和招标文件规定的其他无效情形。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8814" w:type="dxa"/>
            <w:noWrap w:val="0"/>
            <w:vAlign w:val="center"/>
          </w:tcPr>
          <w:p>
            <w:pPr>
              <w:widowControl w:val="0"/>
              <w:spacing w:line="360" w:lineRule="auto"/>
              <w:jc w:val="both"/>
              <w:rPr>
                <w:rFonts w:hint="eastAsia" w:ascii="宋体" w:hAnsi="宋体" w:cs="宋体"/>
                <w:bCs/>
                <w:color w:val="auto"/>
                <w:kern w:val="2"/>
                <w:szCs w:val="21"/>
                <w:highlight w:val="none"/>
              </w:rPr>
            </w:pPr>
            <w:r>
              <w:rPr>
                <w:rFonts w:hint="eastAsia" w:ascii="宋体" w:hAnsi="宋体" w:cs="宋体"/>
                <w:bCs/>
                <w:color w:val="auto"/>
                <w:kern w:val="2"/>
                <w:szCs w:val="21"/>
                <w:highlight w:val="none"/>
              </w:rPr>
              <w:t>本项目采用综合评分法来确定中标候选人，首先进行资格审查和符合性审查，对通过资格审查和符合性审查的投标人进行详细评审，其操作程序为：</w:t>
            </w:r>
          </w:p>
          <w:p>
            <w:pPr>
              <w:widowControl w:val="0"/>
              <w:spacing w:line="360" w:lineRule="auto"/>
              <w:jc w:val="both"/>
              <w:rPr>
                <w:rFonts w:hint="eastAsia" w:ascii="宋体" w:hAnsi="宋体" w:cs="宋体"/>
                <w:bCs/>
                <w:color w:val="auto"/>
                <w:kern w:val="2"/>
                <w:szCs w:val="21"/>
                <w:highlight w:val="none"/>
              </w:rPr>
            </w:pPr>
            <w:r>
              <w:rPr>
                <w:rFonts w:hint="eastAsia" w:ascii="宋体" w:hAnsi="宋体" w:cs="宋体"/>
                <w:bCs/>
                <w:color w:val="auto"/>
                <w:kern w:val="2"/>
                <w:szCs w:val="21"/>
                <w:highlight w:val="none"/>
              </w:rPr>
              <w:t>按照商务技术评分细则、投标报价评分细则（具体评分细则详见第四部分）进行评分。</w:t>
            </w:r>
          </w:p>
          <w:p>
            <w:pPr>
              <w:widowControl w:val="0"/>
              <w:spacing w:line="360" w:lineRule="auto"/>
              <w:jc w:val="both"/>
              <w:rPr>
                <w:rFonts w:hint="eastAsia" w:ascii="宋体" w:hAnsi="宋体" w:cs="宋体"/>
                <w:bCs/>
                <w:color w:val="auto"/>
                <w:kern w:val="2"/>
                <w:szCs w:val="21"/>
                <w:highlight w:val="none"/>
              </w:rPr>
            </w:pPr>
            <w:r>
              <w:rPr>
                <w:rFonts w:hint="eastAsia" w:ascii="宋体" w:hAnsi="宋体" w:cs="宋体"/>
                <w:bCs/>
                <w:color w:val="auto"/>
                <w:kern w:val="2"/>
                <w:szCs w:val="21"/>
                <w:highlight w:val="none"/>
              </w:rPr>
              <w:t>特别说明：</w:t>
            </w:r>
          </w:p>
          <w:p>
            <w:pPr>
              <w:widowControl w:val="0"/>
              <w:spacing w:line="360" w:lineRule="auto"/>
              <w:jc w:val="both"/>
              <w:rPr>
                <w:rFonts w:hint="eastAsia" w:ascii="宋体" w:hAnsi="宋体" w:cs="宋体"/>
                <w:bCs/>
                <w:color w:val="auto"/>
                <w:kern w:val="2"/>
                <w:szCs w:val="21"/>
                <w:highlight w:val="none"/>
              </w:rPr>
            </w:pPr>
            <w:r>
              <w:rPr>
                <w:rFonts w:hint="eastAsia" w:ascii="宋体" w:hAnsi="宋体" w:cs="宋体"/>
                <w:bCs/>
                <w:color w:val="auto"/>
                <w:kern w:val="2"/>
                <w:szCs w:val="21"/>
                <w:highlight w:val="none"/>
              </w:rPr>
              <w:t>（1）由评委独立地根据各项指标的评分标准，结合每个投标人的实际情况，分别就各项指标对每个投标人独立打分，需要统一打分的客观评分，由主任评委组织各评委统一评审。</w:t>
            </w:r>
          </w:p>
          <w:p>
            <w:pPr>
              <w:widowControl w:val="0"/>
              <w:spacing w:line="360" w:lineRule="auto"/>
              <w:jc w:val="both"/>
              <w:rPr>
                <w:rFonts w:hint="eastAsia" w:ascii="宋体" w:hAnsi="宋体" w:cs="宋体"/>
                <w:bCs/>
                <w:color w:val="auto"/>
                <w:kern w:val="2"/>
                <w:szCs w:val="21"/>
                <w:highlight w:val="none"/>
              </w:rPr>
            </w:pPr>
            <w:r>
              <w:rPr>
                <w:rFonts w:hint="eastAsia" w:ascii="宋体" w:hAnsi="宋体" w:cs="宋体"/>
                <w:bCs/>
                <w:color w:val="auto"/>
                <w:kern w:val="2"/>
                <w:szCs w:val="21"/>
                <w:highlight w:val="none"/>
              </w:rPr>
              <w:t>（2）投标报价得分采用低价优先法计算，满足采购文件要求且投标价格折扣率最低的投标报价为评标基准价，其价格分为满分。其他投标人的价格分统一按照下列公式计算：投标报价得分=</w:t>
            </w:r>
            <w:r>
              <w:rPr>
                <w:rFonts w:hint="eastAsia" w:cs="宋体"/>
                <w:bCs/>
                <w:color w:val="auto"/>
                <w:kern w:val="2"/>
                <w:szCs w:val="21"/>
                <w:highlight w:val="none"/>
                <w:lang w:eastAsia="zh-CN"/>
              </w:rPr>
              <w:t>（</w:t>
            </w:r>
            <w:r>
              <w:rPr>
                <w:rFonts w:hint="eastAsia" w:ascii="宋体" w:hAnsi="宋体" w:cs="宋体"/>
                <w:bCs/>
                <w:color w:val="auto"/>
                <w:kern w:val="2"/>
                <w:szCs w:val="21"/>
                <w:highlight w:val="none"/>
              </w:rPr>
              <w:t>评标基准价</w:t>
            </w:r>
            <w:r>
              <w:rPr>
                <w:rFonts w:hint="eastAsia" w:cs="宋体"/>
                <w:bCs/>
                <w:color w:val="auto"/>
                <w:kern w:val="2"/>
                <w:szCs w:val="21"/>
                <w:highlight w:val="none"/>
                <w:lang w:val="en-US" w:eastAsia="zh-CN"/>
              </w:rPr>
              <w:t>/投标报价）</w:t>
            </w:r>
            <w:r>
              <w:rPr>
                <w:rFonts w:hint="eastAsia" w:ascii="宋体" w:hAnsi="宋体" w:cs="宋体"/>
                <w:bCs/>
                <w:color w:val="auto"/>
                <w:kern w:val="2"/>
                <w:szCs w:val="21"/>
                <w:highlight w:val="none"/>
              </w:rPr>
              <w:t>×</w:t>
            </w:r>
            <w:r>
              <w:rPr>
                <w:rFonts w:hint="eastAsia" w:ascii="宋体" w:hAnsi="宋体" w:cs="宋体"/>
                <w:bCs/>
                <w:color w:val="auto"/>
                <w:kern w:val="2"/>
                <w:szCs w:val="21"/>
                <w:highlight w:val="none"/>
                <w:lang w:val="en-US" w:eastAsia="zh-CN"/>
              </w:rPr>
              <w:t>20</w:t>
            </w:r>
            <w:r>
              <w:rPr>
                <w:rFonts w:hint="eastAsia" w:ascii="宋体" w:hAnsi="宋体" w:cs="宋体"/>
                <w:bCs/>
                <w:color w:val="auto"/>
                <w:kern w:val="2"/>
                <w:szCs w:val="21"/>
                <w:highlight w:val="none"/>
              </w:rPr>
              <w:t>。</w:t>
            </w:r>
          </w:p>
          <w:p>
            <w:pPr>
              <w:widowControl w:val="0"/>
              <w:spacing w:line="360" w:lineRule="auto"/>
              <w:jc w:val="both"/>
              <w:rPr>
                <w:rFonts w:hint="eastAsia" w:ascii="宋体" w:hAnsi="宋体" w:cs="宋体"/>
                <w:bCs/>
                <w:color w:val="auto"/>
                <w:kern w:val="2"/>
                <w:szCs w:val="21"/>
                <w:highlight w:val="none"/>
              </w:rPr>
            </w:pPr>
            <w:r>
              <w:rPr>
                <w:rFonts w:hint="eastAsia" w:ascii="宋体" w:hAnsi="宋体" w:cs="宋体"/>
                <w:bCs/>
                <w:color w:val="auto"/>
                <w:kern w:val="2"/>
                <w:szCs w:val="21"/>
                <w:highlight w:val="none"/>
              </w:rPr>
              <w:t>（3）投标最终得分=商务标得分+投标报价得分。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评标委员会将推荐最终得分排名前3名的投标人为本项目的中标候选人，计算最终得分时将四舍五入后，小数点后保留两位有效数；最终</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rPr>
              <w:t>得分相同的，按下列顺序比较确定：（1）最后报价（由低到高）。（2）最后报价相同的，按技术得分由高到低顺序排列。如最后报价和技术得分都相同的，名次由评标委员会抽签确定。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jc w:val="center"/>
        </w:trPr>
        <w:tc>
          <w:tcPr>
            <w:tcW w:w="851" w:type="dxa"/>
            <w:noWrap w:val="0"/>
            <w:vAlign w:val="center"/>
          </w:tcPr>
          <w:p>
            <w:pPr>
              <w:pStyle w:val="6"/>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本项目按以下方式确定中标人（标注“■”为确定方式）：</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□由采购人授权评标委员会依照中标候选人排序依法确定</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名中标人</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■由采购人依照中标候选人排序依法确定</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65" w:type="dxa"/>
            <w:gridSpan w:val="2"/>
            <w:noWrap w:val="0"/>
            <w:vAlign w:val="center"/>
          </w:tcPr>
          <w:p>
            <w:pPr>
              <w:pStyle w:val="6"/>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noWrap w:val="0"/>
            <w:vAlign w:val="center"/>
          </w:tcPr>
          <w:p>
            <w:pPr>
              <w:pStyle w:val="6"/>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代理服务费：无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851" w:type="dxa"/>
            <w:vMerge w:val="restart"/>
            <w:noWrap w:val="0"/>
            <w:vAlign w:val="center"/>
          </w:tcPr>
          <w:p>
            <w:pPr>
              <w:pStyle w:val="6"/>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vMerge w:val="continue"/>
            <w:noWrap w:val="0"/>
            <w:vAlign w:val="center"/>
          </w:tcPr>
          <w:p>
            <w:pPr>
              <w:pStyle w:val="6"/>
              <w:spacing w:line="360" w:lineRule="auto"/>
              <w:ind w:firstLine="0" w:firstLineChars="0"/>
              <w:jc w:val="center"/>
              <w:rPr>
                <w:rFonts w:hint="eastAsia" w:ascii="宋体" w:hAnsi="宋体" w:cs="宋体"/>
                <w:color w:val="auto"/>
                <w:sz w:val="21"/>
                <w:szCs w:val="21"/>
                <w:highlight w:val="none"/>
              </w:rPr>
            </w:pP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本项目相关公告在以下媒体发布（标注“■”为发布媒体）：</w:t>
            </w:r>
          </w:p>
          <w:p>
            <w:pPr>
              <w:pStyle w:val="6"/>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珠海市</w:t>
            </w:r>
            <w:r>
              <w:rPr>
                <w:rFonts w:hint="eastAsia" w:ascii="宋体" w:hAnsi="宋体" w:cs="宋体"/>
                <w:color w:val="auto"/>
                <w:sz w:val="21"/>
                <w:szCs w:val="21"/>
                <w:highlight w:val="none"/>
              </w:rPr>
              <w:t>香洲区第二人民医院</w:t>
            </w:r>
            <w:r>
              <w:rPr>
                <w:rFonts w:hint="eastAsia" w:ascii="宋体" w:hAnsi="宋体" w:cs="宋体"/>
                <w:color w:val="auto"/>
                <w:sz w:val="21"/>
                <w:szCs w:val="21"/>
                <w:highlight w:val="none"/>
                <w:lang w:val="en-US" w:eastAsia="zh-CN"/>
              </w:rPr>
              <w:t>官网</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相关公告在媒体上公布之日即视为有效送达，不再另行通知。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51" w:type="dxa"/>
            <w:vMerge w:val="continue"/>
            <w:noWrap w:val="0"/>
            <w:vAlign w:val="center"/>
          </w:tcPr>
          <w:p>
            <w:pPr>
              <w:pStyle w:val="6"/>
              <w:spacing w:line="360" w:lineRule="auto"/>
              <w:ind w:firstLine="0" w:firstLineChars="0"/>
              <w:jc w:val="center"/>
              <w:rPr>
                <w:rFonts w:hint="eastAsia" w:ascii="宋体" w:hAnsi="宋体" w:cs="宋体"/>
                <w:color w:val="auto"/>
                <w:sz w:val="21"/>
                <w:szCs w:val="21"/>
                <w:highlight w:val="none"/>
              </w:rPr>
            </w:pPr>
          </w:p>
        </w:tc>
        <w:tc>
          <w:tcPr>
            <w:tcW w:w="8814" w:type="dxa"/>
            <w:noWrap w:val="0"/>
            <w:vAlign w:val="center"/>
          </w:tcPr>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将不再受理此后对招标文件的任何异议。</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接收质疑函的方式：书面形式。</w:t>
            </w:r>
          </w:p>
          <w:p>
            <w:pPr>
              <w:pStyle w:val="6"/>
              <w:spacing w:line="360" w:lineRule="auto"/>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联系人：</w:t>
            </w:r>
            <w:r>
              <w:rPr>
                <w:rFonts w:hint="eastAsia" w:cs="宋体"/>
                <w:color w:val="auto"/>
                <w:sz w:val="21"/>
                <w:szCs w:val="21"/>
                <w:highlight w:val="none"/>
                <w:lang w:val="en-US" w:eastAsia="zh-CN"/>
              </w:rPr>
              <w:t>李小姐</w:t>
            </w:r>
            <w:r>
              <w:rPr>
                <w:rFonts w:hint="eastAsia" w:ascii="宋体" w:hAnsi="宋体" w:cs="宋体"/>
                <w:color w:val="auto"/>
                <w:sz w:val="21"/>
                <w:szCs w:val="21"/>
                <w:highlight w:val="none"/>
              </w:rPr>
              <w:t xml:space="preserve">    联系电话：0756-8288</w:t>
            </w:r>
            <w:r>
              <w:rPr>
                <w:rFonts w:hint="eastAsia" w:cs="宋体"/>
                <w:color w:val="auto"/>
                <w:sz w:val="21"/>
                <w:szCs w:val="21"/>
                <w:highlight w:val="none"/>
                <w:lang w:val="en-US" w:eastAsia="zh-CN"/>
              </w:rPr>
              <w:t>7</w:t>
            </w:r>
            <w:r>
              <w:rPr>
                <w:rFonts w:hint="eastAsia" w:ascii="宋体" w:hAnsi="宋体" w:cs="宋体"/>
                <w:color w:val="auto"/>
                <w:sz w:val="21"/>
                <w:szCs w:val="21"/>
                <w:highlight w:val="none"/>
                <w:lang w:val="en-US" w:eastAsia="zh-CN"/>
              </w:rPr>
              <w:t>2</w:t>
            </w:r>
            <w:r>
              <w:rPr>
                <w:rFonts w:hint="eastAsia" w:cs="宋体"/>
                <w:color w:val="auto"/>
                <w:sz w:val="21"/>
                <w:szCs w:val="21"/>
                <w:highlight w:val="none"/>
                <w:lang w:val="en-US" w:eastAsia="zh-CN"/>
              </w:rPr>
              <w:t>3</w:t>
            </w:r>
          </w:p>
          <w:p>
            <w:pPr>
              <w:pStyle w:val="6"/>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通讯地址：珠海市香洲区第二人民医院保障楼</w:t>
            </w:r>
            <w:r>
              <w:rPr>
                <w:rFonts w:hint="eastAsia" w:ascii="宋体" w:hAnsi="宋体" w:cs="宋体"/>
                <w:color w:val="auto"/>
                <w:sz w:val="21"/>
                <w:szCs w:val="21"/>
                <w:highlight w:val="none"/>
                <w:lang w:val="en-US" w:eastAsia="zh-CN"/>
              </w:rPr>
              <w:t>20</w:t>
            </w:r>
            <w:r>
              <w:rPr>
                <w:rFonts w:hint="eastAsia" w:cs="宋体"/>
                <w:color w:val="auto"/>
                <w:sz w:val="21"/>
                <w:szCs w:val="21"/>
                <w:highlight w:val="none"/>
                <w:lang w:val="en-US" w:eastAsia="zh-CN"/>
              </w:rPr>
              <w:t>7</w:t>
            </w:r>
            <w:r>
              <w:rPr>
                <w:rFonts w:hint="eastAsia" w:ascii="宋体" w:hAnsi="宋体" w:cs="宋体"/>
                <w:color w:val="auto"/>
                <w:sz w:val="21"/>
                <w:szCs w:val="21"/>
                <w:highlight w:val="none"/>
              </w:rPr>
              <w:t>室</w:t>
            </w:r>
          </w:p>
        </w:tc>
      </w:tr>
    </w:tbl>
    <w:p>
      <w:pPr>
        <w:spacing w:line="360" w:lineRule="auto"/>
        <w:jc w:val="center"/>
        <w:rPr>
          <w:rFonts w:hint="eastAsia" w:cs="宋体"/>
          <w:b/>
          <w:kern w:val="28"/>
          <w:sz w:val="32"/>
          <w:szCs w:val="32"/>
          <w:lang w:val="en-US" w:eastAsia="zh-CN"/>
        </w:rPr>
      </w:pPr>
    </w:p>
    <w:p>
      <w:pPr>
        <w:rPr>
          <w:rFonts w:hint="eastAsia"/>
          <w:lang w:val="en-US" w:eastAsia="zh-CN"/>
        </w:rPr>
      </w:pPr>
    </w:p>
    <w:p>
      <w:pPr>
        <w:spacing w:line="360" w:lineRule="auto"/>
        <w:jc w:val="center"/>
        <w:rPr>
          <w:rFonts w:hint="eastAsia" w:cs="宋体"/>
          <w:b/>
          <w:kern w:val="28"/>
          <w:sz w:val="32"/>
          <w:szCs w:val="32"/>
          <w:lang w:val="en-US" w:eastAsia="zh-CN"/>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r>
        <w:rPr>
          <w:rFonts w:hint="eastAsia" w:ascii="宋体" w:hAnsi="宋体" w:eastAsia="宋体" w:cs="宋体"/>
          <w:b/>
          <w:color w:val="auto"/>
          <w:sz w:val="36"/>
          <w:szCs w:val="44"/>
          <w:highlight w:val="none"/>
          <w:lang w:val="en-US" w:eastAsia="zh-CN" w:bidi="ar-SA"/>
        </w:rPr>
        <w:t>第四部分 评标方法与标准</w:t>
      </w: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r>
        <w:rPr>
          <w:rFonts w:hint="eastAsia" w:ascii="宋体" w:hAnsi="宋体" w:eastAsia="宋体" w:cs="宋体"/>
          <w:b/>
          <w:color w:val="auto"/>
          <w:sz w:val="36"/>
          <w:szCs w:val="44"/>
          <w:highlight w:val="none"/>
          <w:lang w:val="en-US" w:eastAsia="zh-CN" w:bidi="ar-SA"/>
        </w:rPr>
        <w:t>评标方法与标准</w:t>
      </w:r>
    </w:p>
    <w:p>
      <w:pPr>
        <w:widowControl w:val="0"/>
        <w:numPr>
          <w:ilvl w:val="0"/>
          <w:numId w:val="0"/>
        </w:numPr>
        <w:autoSpaceDE w:val="0"/>
        <w:autoSpaceDN w:val="0"/>
        <w:spacing w:before="0" w:after="0" w:line="240" w:lineRule="auto"/>
        <w:ind w:left="0" w:right="0" w:firstLine="440" w:firstLineChars="200"/>
        <w:jc w:val="both"/>
        <w:rPr>
          <w:rFonts w:hint="eastAsia" w:ascii="宋体" w:hAnsi="宋体" w:eastAsia="宋体" w:cs="宋体"/>
          <w:i w:val="0"/>
          <w:iCs w:val="0"/>
          <w:caps w:val="0"/>
          <w:color w:val="auto"/>
          <w:spacing w:val="0"/>
          <w:sz w:val="22"/>
          <w:szCs w:val="22"/>
          <w:shd w:val="clear" w:color="auto" w:fill="auto"/>
          <w:lang w:val="zh-CN" w:bidi="ar-SA"/>
        </w:rPr>
      </w:pPr>
      <w:r>
        <w:rPr>
          <w:rFonts w:hint="eastAsia" w:ascii="宋体" w:hAnsi="宋体" w:eastAsia="宋体" w:cs="宋体"/>
          <w:i w:val="0"/>
          <w:iCs w:val="0"/>
          <w:caps w:val="0"/>
          <w:color w:val="auto"/>
          <w:spacing w:val="0"/>
          <w:sz w:val="22"/>
          <w:szCs w:val="22"/>
          <w:shd w:val="clear" w:color="auto" w:fill="auto"/>
          <w:lang w:val="zh-CN" w:eastAsia="zh-CN" w:bidi="ar-SA"/>
        </w:rPr>
        <w:t>（</w:t>
      </w:r>
      <w:r>
        <w:rPr>
          <w:rFonts w:hint="eastAsia" w:ascii="宋体" w:hAnsi="宋体" w:eastAsia="宋体" w:cs="宋体"/>
          <w:i w:val="0"/>
          <w:iCs w:val="0"/>
          <w:caps w:val="0"/>
          <w:color w:val="auto"/>
          <w:spacing w:val="0"/>
          <w:sz w:val="22"/>
          <w:szCs w:val="22"/>
          <w:shd w:val="clear" w:color="auto" w:fill="auto"/>
          <w:lang w:val="en-US" w:eastAsia="zh-CN" w:bidi="ar-SA"/>
        </w:rPr>
        <w:t>一</w:t>
      </w:r>
      <w:r>
        <w:rPr>
          <w:rFonts w:hint="eastAsia" w:ascii="宋体" w:hAnsi="宋体" w:eastAsia="宋体" w:cs="宋体"/>
          <w:i w:val="0"/>
          <w:iCs w:val="0"/>
          <w:caps w:val="0"/>
          <w:color w:val="auto"/>
          <w:spacing w:val="0"/>
          <w:sz w:val="22"/>
          <w:szCs w:val="22"/>
          <w:shd w:val="clear" w:color="auto" w:fill="auto"/>
          <w:lang w:val="zh-CN" w:eastAsia="zh-CN" w:bidi="ar-SA"/>
        </w:rPr>
        <w:t>）</w:t>
      </w:r>
      <w:r>
        <w:rPr>
          <w:rFonts w:hint="eastAsia" w:ascii="宋体" w:hAnsi="宋体" w:eastAsia="宋体" w:cs="宋体"/>
          <w:i w:val="0"/>
          <w:iCs w:val="0"/>
          <w:caps w:val="0"/>
          <w:color w:val="auto"/>
          <w:spacing w:val="0"/>
          <w:sz w:val="22"/>
          <w:szCs w:val="22"/>
          <w:shd w:val="clear" w:color="auto" w:fill="auto"/>
          <w:lang w:val="zh-CN" w:bidi="ar-SA"/>
        </w:rPr>
        <w:t>评标方式</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1.本项目各包组采用综合评分法。满足采购文件全部实质性要求，且按照评审因素的量化指标评审得分最高的供应商为成交候选人。</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2.评标小组先对所有投标人进行资格性审查和符合性审查。投标人必须严格按照《资格性、符合性审查表》的评审内容的要求如实提供证明材料并应加盖投标人公章，若投标人不满足《资格性、符合性审查表》中任何情形之一的，则其投标无效。</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bidi="zh-CN"/>
        </w:rPr>
        <w:t>3.评标小组对通过《资格性、符合性审查表》的投标文件进行详细评审，评标小组对每一投标文件进行详细技术、商务、价格评审，评出其技术商务评分（四舍五入后，小数点后保留两位有效数）。然后，评出价格得分，将技术商务得分和价格得分相加得出综合得分，并按综合得分从高到低依次排名，出现并列得分时，价格低者优先；得分相同且价格相同的，技术得分高者优先。</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4.资格性、符合性审查标准：详见附表1；</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5.技术商务评分标准：详见附表2；</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6.价格评审标准（详见附表3）：满足招标文件要求且评标价格最低的为评标基准价，其价格分为满分。其他投标人的价格分统一按照下列公式计算：投标报价得分（精确到小数点后2位）=(评标基准价／评标价格)×权重分配</w:t>
      </w:r>
    </w:p>
    <w:p>
      <w:pPr>
        <w:widowControl w:val="0"/>
        <w:autoSpaceDE w:val="0"/>
        <w:autoSpaceDN w:val="0"/>
        <w:spacing w:before="0" w:after="0" w:line="240" w:lineRule="auto"/>
        <w:ind w:left="0" w:right="0" w:firstLine="440" w:firstLineChars="200"/>
        <w:jc w:val="left"/>
        <w:rPr>
          <w:rFonts w:hint="eastAsia" w:ascii="宋体" w:hAnsi="宋体" w:eastAsia="宋体" w:cs="宋体"/>
          <w:color w:val="auto"/>
          <w:sz w:val="22"/>
          <w:szCs w:val="22"/>
          <w:highlight w:val="none"/>
          <w:lang w:val="en-US" w:bidi="zh-CN"/>
        </w:rPr>
      </w:pPr>
      <w:r>
        <w:rPr>
          <w:rFonts w:hint="eastAsia" w:ascii="宋体" w:hAnsi="宋体" w:eastAsia="宋体" w:cs="宋体"/>
          <w:color w:val="auto"/>
          <w:sz w:val="22"/>
          <w:szCs w:val="22"/>
          <w:highlight w:val="none"/>
          <w:lang w:val="en-US" w:bidi="zh-CN"/>
        </w:rPr>
        <w:t>权重分配</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81"/>
        <w:gridCol w:w="3118"/>
        <w:gridCol w:w="200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2481" w:type="dxa"/>
            <w:tcBorders>
              <w:top w:val="double" w:color="auto" w:sz="4" w:space="0"/>
              <w:bottom w:val="single" w:color="auto" w:sz="6" w:space="0"/>
            </w:tcBorders>
            <w:shd w:val="clear" w:color="auto" w:fill="D9D9D9"/>
            <w:noWrap w:val="0"/>
            <w:vAlign w:val="center"/>
          </w:tcPr>
          <w:p>
            <w:pPr>
              <w:widowControl w:val="0"/>
              <w:autoSpaceDE/>
              <w:autoSpaceDN/>
              <w:snapToGrid w:val="0"/>
              <w:spacing w:before="0" w:after="0" w:line="240" w:lineRule="auto"/>
              <w:ind w:left="0" w:right="0" w:firstLine="0" w:firstLineChars="0"/>
              <w:jc w:val="center"/>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zh-CN" w:bidi="zh-CN"/>
              </w:rPr>
              <w:t>评分项目</w:t>
            </w:r>
          </w:p>
        </w:tc>
        <w:tc>
          <w:tcPr>
            <w:tcW w:w="3118" w:type="dxa"/>
            <w:tcBorders>
              <w:top w:val="double" w:color="auto" w:sz="4" w:space="0"/>
              <w:bottom w:val="single" w:color="auto" w:sz="6" w:space="0"/>
            </w:tcBorders>
            <w:shd w:val="clear" w:color="auto" w:fill="D9D9D9"/>
            <w:noWrap w:val="0"/>
            <w:vAlign w:val="center"/>
          </w:tcPr>
          <w:p>
            <w:pPr>
              <w:widowControl w:val="0"/>
              <w:autoSpaceDE/>
              <w:autoSpaceDN/>
              <w:snapToGrid w:val="0"/>
              <w:spacing w:before="0" w:after="0" w:line="240" w:lineRule="auto"/>
              <w:ind w:left="0" w:right="0"/>
              <w:jc w:val="center"/>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zh-CN" w:bidi="zh-CN"/>
              </w:rPr>
              <w:t>技术商务部分</w:t>
            </w:r>
          </w:p>
        </w:tc>
        <w:tc>
          <w:tcPr>
            <w:tcW w:w="2006" w:type="dxa"/>
            <w:tcBorders>
              <w:top w:val="double" w:color="auto" w:sz="4" w:space="0"/>
              <w:bottom w:val="single" w:color="auto" w:sz="6" w:space="0"/>
            </w:tcBorders>
            <w:shd w:val="clear" w:color="auto" w:fill="D9D9D9"/>
            <w:noWrap w:val="0"/>
            <w:vAlign w:val="center"/>
          </w:tcPr>
          <w:p>
            <w:pPr>
              <w:widowControl w:val="0"/>
              <w:autoSpaceDE/>
              <w:autoSpaceDN/>
              <w:snapToGrid w:val="0"/>
              <w:spacing w:before="0" w:after="0" w:line="240" w:lineRule="auto"/>
              <w:ind w:left="0" w:right="0"/>
              <w:jc w:val="center"/>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zh-CN" w:bidi="zh-CN"/>
              </w:rPr>
              <w:t>价格部分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481" w:type="dxa"/>
            <w:tcBorders>
              <w:top w:val="single" w:color="auto" w:sz="6" w:space="0"/>
            </w:tcBorders>
            <w:noWrap w:val="0"/>
            <w:vAlign w:val="center"/>
          </w:tcPr>
          <w:p>
            <w:pPr>
              <w:widowControl w:val="0"/>
              <w:autoSpaceDE/>
              <w:autoSpaceDN/>
              <w:snapToGrid w:val="0"/>
              <w:spacing w:before="0" w:after="0" w:line="240" w:lineRule="auto"/>
              <w:ind w:left="0" w:right="0" w:firstLine="0" w:firstLineChars="0"/>
              <w:jc w:val="center"/>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zh-CN" w:bidi="zh-CN"/>
              </w:rPr>
              <w:t>分    值</w:t>
            </w:r>
          </w:p>
        </w:tc>
        <w:tc>
          <w:tcPr>
            <w:tcW w:w="3118" w:type="dxa"/>
            <w:tcBorders>
              <w:top w:val="single" w:color="auto" w:sz="6" w:space="0"/>
            </w:tcBorders>
            <w:noWrap w:val="0"/>
            <w:vAlign w:val="center"/>
          </w:tcPr>
          <w:p>
            <w:pPr>
              <w:widowControl w:val="0"/>
              <w:autoSpaceDE/>
              <w:autoSpaceDN/>
              <w:snapToGrid w:val="0"/>
              <w:spacing w:before="0" w:after="0" w:line="240" w:lineRule="auto"/>
              <w:ind w:left="0" w:right="0"/>
              <w:jc w:val="center"/>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en-US" w:bidi="zh-CN"/>
              </w:rPr>
              <w:t>80</w:t>
            </w:r>
            <w:r>
              <w:rPr>
                <w:rFonts w:hint="eastAsia" w:ascii="宋体" w:hAnsi="宋体" w:eastAsia="宋体" w:cs="宋体"/>
                <w:b/>
                <w:color w:val="auto"/>
                <w:sz w:val="22"/>
                <w:szCs w:val="22"/>
                <w:highlight w:val="none"/>
                <w:lang w:val="zh-CN" w:bidi="zh-CN"/>
              </w:rPr>
              <w:t>分</w:t>
            </w:r>
          </w:p>
        </w:tc>
        <w:tc>
          <w:tcPr>
            <w:tcW w:w="2006" w:type="dxa"/>
            <w:tcBorders>
              <w:top w:val="single" w:color="auto" w:sz="6" w:space="0"/>
            </w:tcBorders>
            <w:noWrap w:val="0"/>
            <w:vAlign w:val="center"/>
          </w:tcPr>
          <w:p>
            <w:pPr>
              <w:widowControl w:val="0"/>
              <w:autoSpaceDE/>
              <w:autoSpaceDN/>
              <w:snapToGrid w:val="0"/>
              <w:spacing w:before="0" w:after="0" w:line="240" w:lineRule="auto"/>
              <w:ind w:left="0" w:right="0" w:firstLine="0" w:firstLineChars="0"/>
              <w:jc w:val="center"/>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en-US" w:bidi="zh-CN"/>
              </w:rPr>
              <w:t>20</w:t>
            </w:r>
            <w:r>
              <w:rPr>
                <w:rFonts w:hint="eastAsia" w:ascii="宋体" w:hAnsi="宋体" w:eastAsia="宋体" w:cs="宋体"/>
                <w:b/>
                <w:color w:val="auto"/>
                <w:sz w:val="22"/>
                <w:szCs w:val="22"/>
                <w:highlight w:val="none"/>
                <w:lang w:val="zh-CN" w:bidi="zh-CN"/>
              </w:rPr>
              <w:t>分</w:t>
            </w: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7.评标小组认为投标人的报价明显低于其他通过资格性、符合性审查投标人的报价，有可能影响产品质量或者不能诚信履约的，应当要求其在评标现场合理的时间内提供书面说明和相关证明材料；投标人不能证明其报价合理性的，评标小组应当将其作为无效投标处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highlight w:val="none"/>
          <w:lang w:val="en-US" w:eastAsia="zh-CN" w:bidi="zh-CN"/>
        </w:rPr>
      </w:pPr>
      <w:r>
        <w:rPr>
          <w:rFonts w:hint="eastAsia" w:ascii="宋体" w:hAnsi="宋体" w:eastAsia="宋体" w:cs="宋体"/>
          <w:color w:val="auto"/>
          <w:sz w:val="22"/>
          <w:szCs w:val="22"/>
          <w:highlight w:val="none"/>
          <w:lang w:val="en-US" w:eastAsia="zh-CN" w:bidi="zh-CN"/>
        </w:rPr>
        <w:t>8.汇总、排序。评标小组根据综合评分情况按照最终得分由高到低推荐3名成交候选人。评审总得分相同的，按下列顺序比较确定：（1）最后报价（由低到高）。（2）最后报价相同的，按技术得分由高到低顺序排列。如最后报价和技术得分都相同的，名次由评标小组抽签确定。</w:t>
      </w:r>
    </w:p>
    <w:p>
      <w:pPr>
        <w:widowControl w:val="0"/>
        <w:numPr>
          <w:ilvl w:val="0"/>
          <w:numId w:val="0"/>
        </w:numPr>
        <w:autoSpaceDE w:val="0"/>
        <w:autoSpaceDN w:val="0"/>
        <w:spacing w:before="0" w:after="0" w:line="240" w:lineRule="auto"/>
        <w:ind w:left="0" w:right="0" w:firstLine="442" w:firstLineChars="200"/>
        <w:jc w:val="both"/>
        <w:rPr>
          <w:rFonts w:hint="eastAsia" w:ascii="宋体" w:hAnsi="宋体" w:eastAsia="宋体" w:cs="宋体"/>
          <w:b/>
          <w:bCs/>
          <w:color w:val="auto"/>
          <w:sz w:val="22"/>
          <w:szCs w:val="22"/>
          <w:highlight w:val="none"/>
          <w:lang w:val="en-US" w:eastAsia="zh-CN" w:bidi="zh-CN"/>
        </w:rPr>
      </w:pPr>
      <w:r>
        <w:rPr>
          <w:rFonts w:hint="eastAsia" w:ascii="宋体" w:hAnsi="宋体" w:eastAsia="宋体" w:cs="宋体"/>
          <w:b/>
          <w:bCs/>
          <w:color w:val="auto"/>
          <w:sz w:val="22"/>
          <w:szCs w:val="22"/>
          <w:highlight w:val="none"/>
          <w:lang w:val="en-US" w:eastAsia="zh-CN" w:bidi="zh-CN"/>
        </w:rPr>
        <w:t>注意事项：</w:t>
      </w:r>
    </w:p>
    <w:p>
      <w:pPr>
        <w:widowControl w:val="0"/>
        <w:numPr>
          <w:ilvl w:val="0"/>
          <w:numId w:val="0"/>
        </w:numPr>
        <w:autoSpaceDE w:val="0"/>
        <w:autoSpaceDN w:val="0"/>
        <w:spacing w:before="0" w:after="0" w:line="240" w:lineRule="auto"/>
        <w:ind w:left="0" w:right="0" w:firstLine="440" w:firstLineChars="200"/>
        <w:jc w:val="both"/>
        <w:rPr>
          <w:rFonts w:hint="eastAsia" w:ascii="宋体" w:hAnsi="宋体" w:eastAsia="宋体" w:cs="宋体"/>
          <w:i w:val="0"/>
          <w:iCs w:val="0"/>
          <w:caps w:val="0"/>
          <w:color w:val="auto"/>
          <w:spacing w:val="0"/>
          <w:sz w:val="22"/>
          <w:szCs w:val="22"/>
          <w:shd w:val="clear" w:color="auto" w:fill="auto"/>
          <w:lang w:val="zh-CN" w:eastAsia="zh-CN" w:bidi="ar-SA"/>
        </w:rPr>
      </w:pPr>
      <w:r>
        <w:rPr>
          <w:rFonts w:hint="eastAsia" w:ascii="宋体" w:hAnsi="宋体" w:eastAsia="宋体" w:cs="宋体"/>
          <w:i w:val="0"/>
          <w:iCs w:val="0"/>
          <w:caps w:val="0"/>
          <w:color w:val="auto"/>
          <w:spacing w:val="0"/>
          <w:sz w:val="22"/>
          <w:szCs w:val="22"/>
          <w:shd w:val="clear" w:color="auto" w:fill="auto"/>
          <w:lang w:val="zh-CN" w:eastAsia="zh-CN" w:bidi="ar-SA"/>
        </w:rPr>
        <w:t>1.投标人必须严格按照《资格</w:t>
      </w:r>
      <w:r>
        <w:rPr>
          <w:rFonts w:hint="eastAsia" w:ascii="宋体" w:hAnsi="宋体" w:eastAsia="宋体" w:cs="宋体"/>
          <w:i w:val="0"/>
          <w:iCs w:val="0"/>
          <w:caps w:val="0"/>
          <w:color w:val="auto"/>
          <w:spacing w:val="0"/>
          <w:sz w:val="22"/>
          <w:szCs w:val="22"/>
          <w:shd w:val="clear" w:color="auto" w:fill="auto"/>
          <w:lang w:val="en-US" w:eastAsia="zh-CN" w:bidi="ar-SA"/>
        </w:rPr>
        <w:t>性、</w:t>
      </w:r>
      <w:r>
        <w:rPr>
          <w:rFonts w:hint="eastAsia" w:ascii="宋体" w:hAnsi="宋体" w:eastAsia="宋体" w:cs="宋体"/>
          <w:i w:val="0"/>
          <w:iCs w:val="0"/>
          <w:caps w:val="0"/>
          <w:color w:val="auto"/>
          <w:spacing w:val="0"/>
          <w:sz w:val="22"/>
          <w:szCs w:val="22"/>
          <w:shd w:val="clear" w:color="auto" w:fill="auto"/>
          <w:lang w:val="zh-CN" w:eastAsia="zh-CN" w:bidi="ar-SA"/>
        </w:rPr>
        <w:t>符合性审查表》的评审内容的要求如实提供证明材料并应加盖投标人公章，若投标人不满足《资格</w:t>
      </w:r>
      <w:r>
        <w:rPr>
          <w:rFonts w:hint="eastAsia" w:ascii="宋体" w:hAnsi="宋体" w:eastAsia="宋体" w:cs="宋体"/>
          <w:i w:val="0"/>
          <w:iCs w:val="0"/>
          <w:caps w:val="0"/>
          <w:color w:val="auto"/>
          <w:spacing w:val="0"/>
          <w:sz w:val="22"/>
          <w:szCs w:val="22"/>
          <w:shd w:val="clear" w:color="auto" w:fill="auto"/>
          <w:lang w:val="en-US" w:eastAsia="zh-CN" w:bidi="ar-SA"/>
        </w:rPr>
        <w:t>性、</w:t>
      </w:r>
      <w:r>
        <w:rPr>
          <w:rFonts w:hint="eastAsia" w:ascii="宋体" w:hAnsi="宋体" w:eastAsia="宋体" w:cs="宋体"/>
          <w:i w:val="0"/>
          <w:iCs w:val="0"/>
          <w:caps w:val="0"/>
          <w:color w:val="auto"/>
          <w:spacing w:val="0"/>
          <w:sz w:val="22"/>
          <w:szCs w:val="22"/>
          <w:shd w:val="clear" w:color="auto" w:fill="auto"/>
          <w:lang w:val="zh-CN" w:eastAsia="zh-CN" w:bidi="ar-SA"/>
        </w:rPr>
        <w:t>符合性审查表》中任何情形之一的，则其投标无效。</w:t>
      </w:r>
    </w:p>
    <w:p>
      <w:pPr>
        <w:widowControl w:val="0"/>
        <w:numPr>
          <w:ilvl w:val="0"/>
          <w:numId w:val="0"/>
        </w:numPr>
        <w:autoSpaceDE w:val="0"/>
        <w:autoSpaceDN w:val="0"/>
        <w:spacing w:before="0" w:after="0" w:line="240" w:lineRule="auto"/>
        <w:ind w:left="0" w:right="0" w:firstLine="440" w:firstLineChars="200"/>
        <w:jc w:val="both"/>
        <w:rPr>
          <w:rFonts w:hint="eastAsia" w:ascii="宋体" w:hAnsi="宋体" w:eastAsia="宋体" w:cs="宋体"/>
          <w:i w:val="0"/>
          <w:iCs w:val="0"/>
          <w:caps w:val="0"/>
          <w:color w:val="auto"/>
          <w:spacing w:val="0"/>
          <w:sz w:val="22"/>
          <w:szCs w:val="22"/>
          <w:shd w:val="clear" w:color="auto" w:fill="auto"/>
          <w:lang w:val="zh-CN" w:eastAsia="zh-CN" w:bidi="ar-SA"/>
        </w:rPr>
      </w:pPr>
      <w:r>
        <w:rPr>
          <w:rFonts w:hint="eastAsia" w:ascii="宋体" w:hAnsi="宋体" w:eastAsia="宋体" w:cs="宋体"/>
          <w:i w:val="0"/>
          <w:iCs w:val="0"/>
          <w:caps w:val="0"/>
          <w:color w:val="auto"/>
          <w:spacing w:val="0"/>
          <w:sz w:val="22"/>
          <w:szCs w:val="22"/>
          <w:shd w:val="clear" w:color="auto" w:fill="auto"/>
          <w:lang w:val="zh-CN" w:eastAsia="zh-CN" w:bidi="ar-SA"/>
        </w:rPr>
        <w:t>2.资格、符合性审查内容详见《资格</w:t>
      </w:r>
      <w:r>
        <w:rPr>
          <w:rFonts w:hint="eastAsia" w:ascii="宋体" w:hAnsi="宋体" w:eastAsia="宋体" w:cs="宋体"/>
          <w:i w:val="0"/>
          <w:iCs w:val="0"/>
          <w:caps w:val="0"/>
          <w:color w:val="auto"/>
          <w:spacing w:val="0"/>
          <w:sz w:val="22"/>
          <w:szCs w:val="22"/>
          <w:shd w:val="clear" w:color="auto" w:fill="auto"/>
          <w:lang w:val="en-US" w:eastAsia="zh-CN" w:bidi="ar-SA"/>
        </w:rPr>
        <w:t>性、</w:t>
      </w:r>
      <w:r>
        <w:rPr>
          <w:rFonts w:hint="eastAsia" w:ascii="宋体" w:hAnsi="宋体" w:eastAsia="宋体" w:cs="宋体"/>
          <w:i w:val="0"/>
          <w:iCs w:val="0"/>
          <w:caps w:val="0"/>
          <w:color w:val="auto"/>
          <w:spacing w:val="0"/>
          <w:sz w:val="22"/>
          <w:szCs w:val="22"/>
          <w:shd w:val="clear" w:color="auto" w:fill="auto"/>
          <w:lang w:val="zh-CN" w:eastAsia="zh-CN" w:bidi="ar-SA"/>
        </w:rPr>
        <w:t>符合性审查表》。</w:t>
      </w:r>
    </w:p>
    <w:p>
      <w:pPr>
        <w:widowControl w:val="0"/>
        <w:numPr>
          <w:ilvl w:val="0"/>
          <w:numId w:val="0"/>
        </w:numPr>
        <w:autoSpaceDE w:val="0"/>
        <w:autoSpaceDN w:val="0"/>
        <w:spacing w:before="0" w:after="0" w:line="240" w:lineRule="auto"/>
        <w:ind w:left="0" w:right="0" w:firstLine="440" w:firstLineChars="200"/>
        <w:jc w:val="both"/>
        <w:rPr>
          <w:rFonts w:hint="eastAsia" w:ascii="宋体" w:hAnsi="宋体" w:eastAsia="宋体" w:cs="宋体"/>
          <w:i w:val="0"/>
          <w:iCs w:val="0"/>
          <w:caps w:val="0"/>
          <w:color w:val="auto"/>
          <w:spacing w:val="0"/>
          <w:sz w:val="22"/>
          <w:szCs w:val="22"/>
          <w:shd w:val="clear" w:color="auto" w:fill="auto"/>
          <w:lang w:val="zh-CN" w:eastAsia="zh-CN" w:bidi="ar-SA"/>
        </w:rPr>
      </w:pPr>
      <w:r>
        <w:rPr>
          <w:rFonts w:hint="eastAsia" w:ascii="宋体" w:hAnsi="宋体" w:eastAsia="宋体" w:cs="宋体"/>
          <w:i w:val="0"/>
          <w:iCs w:val="0"/>
          <w:caps w:val="0"/>
          <w:color w:val="auto"/>
          <w:spacing w:val="0"/>
          <w:sz w:val="22"/>
          <w:szCs w:val="22"/>
          <w:shd w:val="clear" w:color="auto" w:fill="auto"/>
          <w:lang w:val="zh-CN" w:eastAsia="zh-CN" w:bidi="ar-SA"/>
        </w:rPr>
        <w:t>3.技术、商务得分：评标委员会各成员分值的算术平均值（四舍五入后，小数点后保留两位有效数）。</w:t>
      </w:r>
    </w:p>
    <w:p>
      <w:pPr>
        <w:widowControl w:val="0"/>
        <w:numPr>
          <w:ilvl w:val="0"/>
          <w:numId w:val="0"/>
        </w:numPr>
        <w:autoSpaceDE w:val="0"/>
        <w:autoSpaceDN w:val="0"/>
        <w:spacing w:before="0" w:after="0" w:line="240" w:lineRule="auto"/>
        <w:ind w:left="0" w:right="0" w:firstLine="440" w:firstLineChars="200"/>
        <w:jc w:val="both"/>
        <w:rPr>
          <w:rFonts w:hint="default"/>
          <w:color w:val="auto"/>
          <w:lang w:val="en-US" w:eastAsia="zh-CN"/>
        </w:rPr>
      </w:pPr>
      <w:r>
        <w:rPr>
          <w:rFonts w:hint="eastAsia" w:ascii="宋体" w:hAnsi="宋体" w:eastAsia="宋体" w:cs="宋体"/>
          <w:i w:val="0"/>
          <w:iCs w:val="0"/>
          <w:caps w:val="0"/>
          <w:color w:val="auto"/>
          <w:spacing w:val="0"/>
          <w:sz w:val="22"/>
          <w:szCs w:val="22"/>
          <w:shd w:val="clear" w:color="auto" w:fill="auto"/>
          <w:lang w:val="zh-CN" w:eastAsia="zh-CN" w:bidi="ar-SA"/>
        </w:rPr>
        <w:t>4.投标人应如实提交《商务评分细则》《技术评分细则》和《投标报价评分细则》要求提交的相关各类证明、资料等并应加盖投标人公章，投标人如未按要求提交的，该项评分为零分。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2" w:firstLineChars="200"/>
        <w:jc w:val="left"/>
        <w:textAlignment w:val="auto"/>
        <w:rPr>
          <w:rFonts w:hint="eastAsia" w:ascii="宋体" w:hAnsi="宋体" w:eastAsia="宋体" w:cs="宋体"/>
          <w:b/>
          <w:bCs/>
          <w:color w:val="auto"/>
          <w:sz w:val="22"/>
          <w:szCs w:val="22"/>
          <w:lang w:val="zh-CN" w:bidi="zh-CN"/>
        </w:rPr>
      </w:pPr>
      <w:r>
        <w:rPr>
          <w:rFonts w:hint="eastAsia" w:ascii="宋体" w:hAnsi="宋体" w:eastAsia="宋体" w:cs="宋体"/>
          <w:b/>
          <w:bCs/>
          <w:color w:val="auto"/>
          <w:sz w:val="22"/>
          <w:szCs w:val="22"/>
          <w:lang w:val="zh-CN" w:eastAsia="zh-CN" w:bidi="zh-CN"/>
        </w:rPr>
        <w:t>（</w:t>
      </w:r>
      <w:r>
        <w:rPr>
          <w:rFonts w:hint="eastAsia" w:ascii="宋体" w:hAnsi="宋体" w:eastAsia="宋体" w:cs="宋体"/>
          <w:b/>
          <w:bCs/>
          <w:color w:val="auto"/>
          <w:sz w:val="22"/>
          <w:szCs w:val="22"/>
          <w:lang w:val="en-US" w:eastAsia="zh-CN" w:bidi="zh-CN"/>
        </w:rPr>
        <w:t>二</w:t>
      </w:r>
      <w:r>
        <w:rPr>
          <w:rFonts w:hint="eastAsia" w:ascii="宋体" w:hAnsi="宋体" w:eastAsia="宋体" w:cs="宋体"/>
          <w:b/>
          <w:bCs/>
          <w:color w:val="auto"/>
          <w:sz w:val="22"/>
          <w:szCs w:val="22"/>
          <w:lang w:val="zh-CN" w:eastAsia="zh-CN" w:bidi="zh-CN"/>
        </w:rPr>
        <w:t>）</w:t>
      </w:r>
      <w:r>
        <w:rPr>
          <w:rFonts w:hint="eastAsia" w:ascii="宋体" w:hAnsi="宋体" w:eastAsia="宋体" w:cs="宋体"/>
          <w:b/>
          <w:bCs/>
          <w:color w:val="auto"/>
          <w:sz w:val="22"/>
          <w:szCs w:val="22"/>
          <w:lang w:val="zh-CN" w:bidi="zh-CN"/>
        </w:rPr>
        <w:t>成交供应商的确定、替补候选人的设定与使用</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1.评标小组依照</w:t>
      </w:r>
      <w:r>
        <w:rPr>
          <w:rFonts w:hint="eastAsia" w:ascii="宋体" w:hAnsi="宋体" w:eastAsia="宋体" w:cs="宋体"/>
          <w:color w:val="auto"/>
          <w:sz w:val="22"/>
          <w:szCs w:val="22"/>
          <w:lang w:val="en-US" w:eastAsia="zh-CN" w:bidi="zh-CN"/>
        </w:rPr>
        <w:t>中标</w:t>
      </w:r>
      <w:r>
        <w:rPr>
          <w:rFonts w:hint="eastAsia" w:ascii="宋体" w:hAnsi="宋体" w:eastAsia="宋体" w:cs="宋体"/>
          <w:color w:val="auto"/>
          <w:sz w:val="22"/>
          <w:szCs w:val="22"/>
          <w:lang w:val="zh-CN" w:bidi="zh-CN"/>
        </w:rPr>
        <w:t>候选人排序依规确定1名成交供应商。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2.中标人因不可抗力或者自身原因不能履行采购合同的，采购人可以与排位在中标人之后第一位的中标候选人签订采购合同（以此类推，但中标资格只顺延给中标候选人），或者重新组织采购确定中标人。</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2" w:firstLineChars="200"/>
        <w:jc w:val="left"/>
        <w:textAlignment w:val="auto"/>
        <w:rPr>
          <w:rFonts w:hint="eastAsia" w:ascii="宋体" w:hAnsi="宋体" w:eastAsia="宋体" w:cs="宋体"/>
          <w:b/>
          <w:bCs/>
          <w:color w:val="auto"/>
          <w:sz w:val="22"/>
          <w:szCs w:val="22"/>
          <w:lang w:val="zh-CN" w:bidi="zh-CN"/>
        </w:rPr>
      </w:pPr>
      <w:r>
        <w:rPr>
          <w:rFonts w:hint="eastAsia" w:ascii="宋体" w:hAnsi="宋体" w:eastAsia="宋体" w:cs="宋体"/>
          <w:b/>
          <w:bCs/>
          <w:color w:val="auto"/>
          <w:sz w:val="22"/>
          <w:szCs w:val="22"/>
          <w:lang w:val="zh-CN" w:eastAsia="zh-CN" w:bidi="zh-CN"/>
        </w:rPr>
        <w:t>（</w:t>
      </w:r>
      <w:r>
        <w:rPr>
          <w:rFonts w:hint="eastAsia" w:ascii="宋体" w:hAnsi="宋体" w:eastAsia="宋体" w:cs="宋体"/>
          <w:b/>
          <w:bCs/>
          <w:color w:val="auto"/>
          <w:sz w:val="22"/>
          <w:szCs w:val="22"/>
          <w:lang w:val="en-US" w:eastAsia="zh-CN" w:bidi="zh-CN"/>
        </w:rPr>
        <w:t>三</w:t>
      </w:r>
      <w:r>
        <w:rPr>
          <w:rFonts w:hint="eastAsia" w:ascii="宋体" w:hAnsi="宋体" w:eastAsia="宋体" w:cs="宋体"/>
          <w:b/>
          <w:bCs/>
          <w:color w:val="auto"/>
          <w:sz w:val="22"/>
          <w:szCs w:val="22"/>
          <w:lang w:val="zh-CN" w:eastAsia="zh-CN" w:bidi="zh-CN"/>
        </w:rPr>
        <w:t>）</w:t>
      </w:r>
      <w:r>
        <w:rPr>
          <w:rFonts w:hint="eastAsia" w:ascii="宋体" w:hAnsi="宋体" w:eastAsia="宋体" w:cs="宋体"/>
          <w:b/>
          <w:bCs/>
          <w:color w:val="auto"/>
          <w:sz w:val="22"/>
          <w:szCs w:val="22"/>
          <w:lang w:val="zh-CN" w:bidi="zh-CN"/>
        </w:rPr>
        <w:t>中标签订合同</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1.成交结果公示</w:t>
      </w:r>
      <w:r>
        <w:rPr>
          <w:rFonts w:hint="eastAsia" w:ascii="宋体" w:hAnsi="宋体" w:eastAsia="宋体" w:cs="宋体"/>
          <w:color w:val="auto"/>
          <w:sz w:val="22"/>
          <w:szCs w:val="22"/>
          <w:lang w:val="en-US" w:eastAsia="zh-CN" w:bidi="zh-CN"/>
        </w:rPr>
        <w:t>1</w:t>
      </w:r>
      <w:r>
        <w:rPr>
          <w:rFonts w:hint="eastAsia" w:ascii="宋体" w:hAnsi="宋体" w:eastAsia="宋体" w:cs="宋体"/>
          <w:color w:val="auto"/>
          <w:sz w:val="22"/>
          <w:szCs w:val="22"/>
          <w:lang w:val="zh-CN" w:bidi="zh-CN"/>
        </w:rPr>
        <w:t>个工作日，公示期内无投标人提出异议的自动确定排名第一的投标单位为中标人。</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lang w:val="zh-CN" w:bidi="zh-CN"/>
        </w:rPr>
      </w:pPr>
      <w:r>
        <w:rPr>
          <w:rFonts w:hint="eastAsia" w:ascii="宋体" w:hAnsi="宋体" w:eastAsia="宋体" w:cs="宋体"/>
          <w:color w:val="auto"/>
          <w:sz w:val="22"/>
          <w:szCs w:val="22"/>
          <w:lang w:val="zh-CN" w:bidi="zh-CN"/>
        </w:rPr>
        <w:t>2.中标公示结束后30日内签订采购合同，中标单位拒绝签订采购合同的，三年内不得参加本单位所有的采购项目。</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left"/>
        <w:rPr>
          <w:rFonts w:ascii="Calibri" w:hAnsi="Calibri" w:eastAsia="宋体" w:cs="Times New Roman"/>
          <w:b/>
          <w:color w:val="auto"/>
          <w:sz w:val="24"/>
          <w:highlight w:val="none"/>
          <w:lang w:val="en-US" w:eastAsia="zh-CN" w:bidi="ar-SA"/>
        </w:rPr>
      </w:pPr>
      <w:r>
        <w:rPr>
          <w:rFonts w:hint="eastAsia" w:ascii="Calibri" w:hAnsi="Calibri" w:eastAsia="宋体" w:cs="Times New Roman"/>
          <w:b/>
          <w:color w:val="auto"/>
          <w:sz w:val="24"/>
          <w:highlight w:val="none"/>
          <w:lang w:val="en-US" w:eastAsia="zh-CN" w:bidi="ar-SA"/>
        </w:rPr>
        <w:t>附表1：资格性、符合性审查表</w:t>
      </w:r>
    </w:p>
    <w:p>
      <w:pPr>
        <w:widowControl/>
        <w:autoSpaceDE/>
        <w:autoSpaceDN/>
        <w:spacing w:before="0" w:after="0" w:line="300" w:lineRule="exact"/>
        <w:ind w:left="0" w:right="0"/>
        <w:jc w:val="left"/>
        <w:rPr>
          <w:rFonts w:hint="eastAsia" w:ascii="宋体" w:hAnsi="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项目名称：</w:t>
      </w:r>
      <w:r>
        <w:rPr>
          <w:rFonts w:hint="eastAsia" w:ascii="宋体" w:hAnsi="宋体" w:cs="宋体"/>
          <w:color w:val="auto"/>
          <w:sz w:val="21"/>
          <w:szCs w:val="20"/>
          <w:highlight w:val="none"/>
          <w:lang w:val="en-US" w:eastAsia="zh-CN" w:bidi="ar-SA"/>
        </w:rPr>
        <w:t>珠海市香洲区第二人民医院</w:t>
      </w:r>
      <w:r>
        <w:rPr>
          <w:rFonts w:hint="eastAsia" w:cs="宋体"/>
          <w:color w:val="auto"/>
          <w:sz w:val="21"/>
          <w:szCs w:val="20"/>
          <w:highlight w:val="none"/>
          <w:lang w:val="en-US" w:eastAsia="zh-CN" w:bidi="ar-SA"/>
        </w:rPr>
        <w:t>手术室净化系统维保和高效过滤器更换</w:t>
      </w:r>
      <w:r>
        <w:rPr>
          <w:rFonts w:hint="eastAsia" w:ascii="宋体" w:hAnsi="宋体" w:cs="宋体"/>
          <w:color w:val="auto"/>
          <w:sz w:val="21"/>
          <w:szCs w:val="20"/>
          <w:highlight w:val="none"/>
          <w:lang w:val="en-US" w:eastAsia="zh-CN" w:bidi="ar-SA"/>
        </w:rPr>
        <w:t>服务采购项目</w:t>
      </w:r>
    </w:p>
    <w:p>
      <w:pPr>
        <w:widowControl/>
        <w:autoSpaceDE/>
        <w:autoSpaceDN/>
        <w:spacing w:before="0" w:after="0" w:line="300" w:lineRule="exact"/>
        <w:ind w:left="0" w:right="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采购编号：HQCG20</w:t>
      </w:r>
      <w:r>
        <w:rPr>
          <w:rFonts w:hint="eastAsia" w:cs="宋体"/>
          <w:color w:val="auto"/>
          <w:sz w:val="21"/>
          <w:szCs w:val="20"/>
          <w:highlight w:val="none"/>
          <w:lang w:val="en-US" w:eastAsia="zh-CN" w:bidi="ar-SA"/>
        </w:rPr>
        <w:t>26003</w:t>
      </w:r>
    </w:p>
    <w:tbl>
      <w:tblPr>
        <w:tblStyle w:val="16"/>
        <w:tblW w:w="92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19"/>
        <w:gridCol w:w="6119"/>
        <w:gridCol w:w="906"/>
        <w:gridCol w:w="938"/>
        <w:gridCol w:w="6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23"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序号</w:t>
            </w:r>
          </w:p>
        </w:tc>
        <w:tc>
          <w:tcPr>
            <w:tcW w:w="6119" w:type="dxa"/>
            <w:tcBorders>
              <w:left w:val="single" w:color="auto" w:sz="4" w:space="0"/>
            </w:tcBorders>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审查内容</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投标人1</w:t>
            </w:r>
          </w:p>
        </w:tc>
        <w:tc>
          <w:tcPr>
            <w:tcW w:w="938" w:type="dxa"/>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投标人2</w:t>
            </w: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248"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bookmarkStart w:id="3" w:name="OLE_LINK1" w:colFirst="0" w:colLast="1"/>
            <w:r>
              <w:rPr>
                <w:rFonts w:hint="eastAsia" w:ascii="宋体" w:hAnsi="宋体" w:cs="宋体"/>
                <w:color w:val="auto"/>
                <w:sz w:val="20"/>
                <w:szCs w:val="20"/>
                <w:highlight w:val="none"/>
                <w:lang w:val="en-US" w:bidi="ar-SA"/>
              </w:rPr>
              <w:t>1</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（4）履行合同所必需的设备和专业技术能力：提供《投标人资格声明函》。</w:t>
            </w:r>
          </w:p>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（5）参加采购活动前3年内，在经营活动中没有重大违法记录：提供《投标人资格声明函》。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969"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ascii="宋体" w:hAnsi="宋体" w:cs="宋体"/>
                <w:color w:val="auto"/>
                <w:sz w:val="20"/>
                <w:szCs w:val="20"/>
                <w:highlight w:val="none"/>
                <w:lang w:val="en-US" w:bidi="ar-SA"/>
              </w:rPr>
            </w:pPr>
            <w:r>
              <w:rPr>
                <w:rFonts w:ascii="宋体" w:hAnsi="宋体" w:cs="宋体"/>
                <w:color w:val="auto"/>
                <w:sz w:val="20"/>
                <w:szCs w:val="20"/>
                <w:highlight w:val="none"/>
                <w:lang w:val="en-US" w:bidi="ar-SA"/>
              </w:rPr>
              <w:t>4</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4"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5</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按照招标文件规定要求签署、盖章且投标文件有法定代表人签字或盖个人名章（或签字人有法定代表人有效授权书）的</w:t>
            </w:r>
            <w:r>
              <w:rPr>
                <w:rFonts w:hint="eastAsia"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6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6</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投标报价未超过本项目最高限价的</w:t>
            </w:r>
            <w:r>
              <w:rPr>
                <w:rFonts w:hint="eastAsia"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26"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7</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bidi="ar-SA"/>
              </w:rPr>
              <w:t>投标文件未出现选择性报价或有附加条件报价的情形</w:t>
            </w:r>
            <w:r>
              <w:rPr>
                <w:rFonts w:hint="eastAsia" w:ascii="宋体" w:hAnsi="宋体" w:eastAsia="宋体"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bookmarkEnd w:id="3"/>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88" w:hRule="atLeast"/>
          <w:jc w:val="center"/>
        </w:trPr>
        <w:tc>
          <w:tcPr>
            <w:tcW w:w="6738"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结论</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738"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不通过原因说明</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bl>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备注：</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1．评审时评委对投标人是否满足要求逐条标注评审意见，“是”标记为“○”，“否”标记为“×”；</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2．评审结论栏统一填写为“通过”或“不通过”，出现一个“×”为“不通过”；</w:t>
      </w:r>
    </w:p>
    <w:p>
      <w:pPr>
        <w:widowControl/>
        <w:autoSpaceDE/>
        <w:autoSpaceDN/>
        <w:spacing w:before="0" w:after="0" w:line="240" w:lineRule="auto"/>
        <w:ind w:left="0" w:right="0"/>
        <w:jc w:val="left"/>
        <w:rPr>
          <w:rFonts w:hint="eastAsia" w:ascii="Times New Roman" w:hAnsi="Times New Roman" w:cs="Times New Roman"/>
          <w:color w:val="auto"/>
          <w:sz w:val="21"/>
          <w:szCs w:val="20"/>
          <w:highlight w:val="none"/>
          <w:lang w:val="en-US" w:bidi="ar-SA"/>
        </w:rPr>
      </w:pPr>
      <w:r>
        <w:rPr>
          <w:rFonts w:hint="eastAsia" w:ascii="宋体" w:hAnsi="宋体" w:cs="宋体"/>
          <w:color w:val="auto"/>
          <w:sz w:val="20"/>
          <w:szCs w:val="18"/>
          <w:highlight w:val="none"/>
          <w:lang w:val="en-US" w:bidi="ar-SA"/>
        </w:rPr>
        <w:t>3．对结论为“不通过”的投标，要说明原因。</w:t>
      </w:r>
    </w:p>
    <w:p>
      <w:pPr>
        <w:widowControl/>
        <w:autoSpaceDE/>
        <w:autoSpaceDN/>
        <w:spacing w:before="0" w:after="0" w:line="240" w:lineRule="auto"/>
        <w:ind w:left="0" w:right="0"/>
        <w:jc w:val="left"/>
        <w:rPr>
          <w:rFonts w:hint="eastAsia"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评委签名：</w:t>
      </w:r>
      <w:r>
        <w:rPr>
          <w:rFonts w:hint="eastAsia" w:ascii="宋体" w:hAnsi="宋体" w:cs="宋体"/>
          <w:color w:val="auto"/>
          <w:sz w:val="20"/>
          <w:szCs w:val="18"/>
          <w:highlight w:val="none"/>
          <w:lang w:val="en-US" w:eastAsia="zh-CN" w:bidi="ar-SA"/>
        </w:rPr>
        <w:t xml:space="preserve">             </w:t>
      </w:r>
      <w:r>
        <w:rPr>
          <w:rFonts w:hint="eastAsia" w:ascii="宋体" w:hAnsi="宋体" w:cs="宋体"/>
          <w:color w:val="auto"/>
          <w:sz w:val="20"/>
          <w:szCs w:val="18"/>
          <w:highlight w:val="none"/>
          <w:lang w:val="en-US" w:bidi="ar-SA"/>
        </w:rPr>
        <w:t>日期：</w:t>
      </w:r>
      <w:r>
        <w:rPr>
          <w:rFonts w:hint="eastAsia" w:ascii="宋体" w:hAnsi="宋体" w:cs="宋体"/>
          <w:color w:val="auto"/>
          <w:sz w:val="20"/>
          <w:szCs w:val="18"/>
          <w:highlight w:val="none"/>
          <w:lang w:val="en-US" w:bidi="ar-SA"/>
        </w:rPr>
        <w:br w:type="page"/>
      </w:r>
    </w:p>
    <w:p>
      <w:pPr>
        <w:spacing w:line="480" w:lineRule="exact"/>
        <w:jc w:val="center"/>
        <w:outlineLvl w:val="1"/>
        <w:rPr>
          <w:rFonts w:hint="eastAsia" w:ascii="宋体" w:hAnsi="宋体" w:cs="宋体"/>
          <w:color w:val="auto"/>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：商务</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评分细则（注：此表不需要投标人填写）</w:t>
      </w:r>
    </w:p>
    <w:tbl>
      <w:tblPr>
        <w:tblStyle w:val="16"/>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93"/>
        <w:gridCol w:w="784"/>
        <w:gridCol w:w="6393"/>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技术部分</w:t>
            </w:r>
            <w:r>
              <w:rPr>
                <w:rFonts w:hint="eastAsia" w:ascii="宋体" w:hAnsi="宋体" w:eastAsia="宋体" w:cs="宋体"/>
                <w:color w:val="auto"/>
                <w:sz w:val="21"/>
                <w:szCs w:val="21"/>
                <w:highlight w:val="none"/>
                <w:lang w:val="en-US" w:eastAsia="zh-CN"/>
              </w:rPr>
              <w:t>分值</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54</w:t>
            </w:r>
          </w:p>
        </w:tc>
        <w:tc>
          <w:tcPr>
            <w:tcW w:w="639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5</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（一）评审内容：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投标人对本项目的需求内容分析和理解，并提供相应的实施方案。根据招标文件的需求和投标文件响应情况。要求包括但不限于：</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1、服务团队配置、团队人员管理、人员稳定性、人员培训计划方案；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2、服务质量检查、整改方案；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3、巡检服务方案；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4、备用设备库、备用配件库方案。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（二）评分标准：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满足以上四项要求的得</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分，满足其中三项要求的得6分，满足其中二项要求的得4分，满足其中一项要求的得2分，其他情况不得分。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（1）整体实施方案内容全面；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（2）整体实施方案内容具体；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（3）整体实施方案内容针对性强；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（4）整体实施方案内容科学合理；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（5）整体实施方案内容可操作性强。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满足以上五项要求的加7分，满足其中四项要求的加5分，满足其中三项要求的加3分，满足其中两项要求的加1分，其它情况不加分。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以上累计得分，最高得15分。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质量（完成时间、安全、环保）保障措施及方案</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15</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为保证服务质量和项目的顺利实施，重点考察投标人对项目服务质量控制体系、服务质量控制指标、项目实施进度、成果安全性保障等方面的具体措施与安排。内容包括但不限于：</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1、质量控制方案，实现信息化、可追溯管理，维修更换配件或设备渠道来源合法可追溯性；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2、维修故障响应时效及更换配件及时性保证措施；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3、团队人员专业能力经验保障方案；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4、设备质量、计量检测、质控检验管理制度；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5、日常设备使用、维保安全内部管理制度。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（二）评分标准：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1、提供的保障方案满足以上5点得10分，满足以上任意4点得8分，满足以上任意3点得6分，满足以上任意2点得4分，满足以上任意1点得2分，未满足不得分。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2、在此基础上，专家根据各供应商的具体响应内容按照量化的评审因素指标进一步评审：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（1）质量保障措施及方案满足本项目采购需求且针对性强，条理清晰；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（2）服务质量检查、服务质量控制指标整体方案详细，且能有效把控项目成果；</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（3）团队人员具备较强的组织协调、统筹专业能力；</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（4）安全保障措施方案策划筹备科学合理，流程明确。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优评分标准：满足以上四项要求的评价为优，加5分；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良评分标准：满足以上三项要求的评价为良，加3分；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中评分标准：满足以上二项要求的评价为中，加1分；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差评分标准：不加分。未提供保障方案不得分。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以上累计得分，最高得15分。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sz w:val="21"/>
                <w:szCs w:val="21"/>
              </w:rPr>
              <w:t>维护管理制度与操作规程</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10</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（一）评审内容：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投标人须针对本项目需求提供维护管理制度与操作规程：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1、维护管理制度；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2、维护操作规程。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1、每具有以上一项内容得2.5分，本小项最高得5分，未提供不得分。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2、在此基础上，专家根据各供应商的具体响应内容按照量化 的评审因素指标进一步评审：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（1）投标文件响应内容全面；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（2）投标文件响应内容具体；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（3）投标文件响应内容针对性强；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（4）投标文件响应内容科学合理；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（5）投标文件响应内容可操作性强。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满足以上五项要求的评价为优，加5分。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满足以上四项要求的评价为良，加3分。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满足以上三项要求的评价为中，加1分。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情况的评价为差，不得分。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以上累计得分，最高得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拟投入本项目团队成员</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14</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（一）评分内容：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对拟投入本项目的团队人员情况进行评审打分，要求拟安排项目团队成员为投标人自有员工，不满足的本小项不得分：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1、每提供一人具备机电设备类或暖通类中级工程师职称的，得2.5分，此项最高得5分；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r>
              <w:rPr>
                <w:rFonts w:hint="eastAsia" w:cs="宋体"/>
                <w:kern w:val="0"/>
                <w:sz w:val="21"/>
                <w:szCs w:val="21"/>
                <w:lang w:val="en-US" w:eastAsia="zh-CN" w:bidi="ar"/>
              </w:rPr>
              <w:t>在第1点的基础上，</w:t>
            </w:r>
            <w:r>
              <w:rPr>
                <w:rFonts w:hint="eastAsia" w:ascii="宋体" w:hAnsi="宋体" w:eastAsia="宋体" w:cs="宋体"/>
                <w:kern w:val="0"/>
                <w:sz w:val="21"/>
                <w:szCs w:val="21"/>
                <w:lang w:val="en-US" w:eastAsia="zh-CN" w:bidi="ar"/>
              </w:rPr>
              <w:t>每提供一人同时具备特种设备管理人员A证和及作业人员R1证，得2分，此项最高得2分；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3、在第1点的基础上，每提供一人同时具备高压电工证和低压电工证，得2分，此项最高得2分；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4、每提供一人具备空调制冷维修作业人证及焊工证，得1分，此项最高得1分；</w:t>
            </w:r>
          </w:p>
          <w:p>
            <w:pPr>
              <w:pStyle w:val="2"/>
              <w:rPr>
                <w:rFonts w:hint="default"/>
                <w:lang w:val="en-US" w:eastAsia="zh-CN"/>
              </w:rPr>
            </w:pPr>
            <w:r>
              <w:rPr>
                <w:rFonts w:hint="eastAsia" w:hAnsi="宋体" w:cs="宋体"/>
                <w:kern w:val="0"/>
                <w:sz w:val="21"/>
                <w:szCs w:val="21"/>
                <w:lang w:val="en-US" w:eastAsia="zh-CN" w:bidi="ar"/>
              </w:rPr>
              <w:t>5、每提供一人具备相关层流系统维护保养的资质、经验的，得2分，此项最高得4分。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（二）评分标准：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1、投标人为团队人员缴纳的至投标截止日近三个月</w:t>
            </w:r>
            <w:r>
              <w:rPr>
                <w:rFonts w:hint="eastAsia" w:cs="宋体"/>
                <w:kern w:val="0"/>
                <w:sz w:val="21"/>
                <w:szCs w:val="21"/>
                <w:lang w:val="en-US" w:eastAsia="zh-CN" w:bidi="ar"/>
              </w:rPr>
              <w:t>其中一个月</w:t>
            </w:r>
            <w:r>
              <w:rPr>
                <w:rFonts w:hint="eastAsia" w:ascii="宋体" w:hAnsi="宋体" w:eastAsia="宋体" w:cs="宋体"/>
                <w:kern w:val="0"/>
                <w:sz w:val="21"/>
                <w:szCs w:val="21"/>
                <w:lang w:val="en-US" w:eastAsia="zh-CN" w:bidi="ar"/>
              </w:rPr>
              <w:t>的社保证明等证明资料作为得分依据</w:t>
            </w:r>
            <w:r>
              <w:rPr>
                <w:rFonts w:hint="eastAsia" w:cs="宋体"/>
                <w:kern w:val="0"/>
                <w:sz w:val="21"/>
                <w:szCs w:val="21"/>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2、【证书证明材料】提供证书扫描件和相应的官方网站查询截图；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3、经验证明材料为相关项目合同关键页或有建设单位或投标人盖章的工作证明</w:t>
            </w:r>
            <w:r>
              <w:rPr>
                <w:rFonts w:hint="eastAsia" w:cs="宋体"/>
                <w:kern w:val="0"/>
                <w:sz w:val="21"/>
                <w:szCs w:val="21"/>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kern w:val="0"/>
                <w:sz w:val="21"/>
                <w:szCs w:val="21"/>
                <w:lang w:val="en-US" w:eastAsia="zh-CN" w:bidi="ar"/>
              </w:rPr>
            </w:pPr>
            <w:r>
              <w:rPr>
                <w:rFonts w:hint="eastAsia" w:cs="宋体"/>
                <w:kern w:val="0"/>
                <w:sz w:val="21"/>
                <w:szCs w:val="21"/>
                <w:lang w:val="en-US" w:eastAsia="zh-CN" w:bidi="ar"/>
              </w:rPr>
              <w:t>4、</w:t>
            </w:r>
            <w:r>
              <w:rPr>
                <w:rFonts w:hint="eastAsia" w:ascii="宋体" w:hAnsi="宋体" w:eastAsia="宋体" w:cs="宋体"/>
                <w:kern w:val="0"/>
                <w:sz w:val="21"/>
                <w:szCs w:val="21"/>
                <w:lang w:val="en-US" w:eastAsia="zh-CN" w:bidi="ar"/>
              </w:rPr>
              <w:t>评分中出现无证明资料或专家无法凭所提供资料判断是否得分的情况，一律作不得分处理。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kern w:val="0"/>
                <w:sz w:val="21"/>
                <w:szCs w:val="21"/>
                <w:lang w:val="en-US" w:eastAsia="zh-CN" w:bidi="ar"/>
              </w:rPr>
              <w:t>以上累计得分，最高得 1</w:t>
            </w:r>
            <w:r>
              <w:rPr>
                <w:rFonts w:hint="eastAsia" w:cs="宋体"/>
                <w:kern w:val="0"/>
                <w:sz w:val="21"/>
                <w:szCs w:val="21"/>
                <w:lang w:val="en-US" w:eastAsia="zh-CN" w:bidi="ar"/>
              </w:rPr>
              <w:t>3</w:t>
            </w:r>
            <w:r>
              <w:rPr>
                <w:rFonts w:hint="eastAsia" w:ascii="宋体" w:hAnsi="宋体" w:eastAsia="宋体" w:cs="宋体"/>
                <w:kern w:val="0"/>
                <w:sz w:val="21"/>
                <w:szCs w:val="21"/>
                <w:lang w:val="en-US" w:eastAsia="zh-CN"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分值</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26</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投标人同类</w:t>
            </w:r>
            <w:r>
              <w:rPr>
                <w:rFonts w:hint="eastAsia" w:ascii="宋体" w:hAnsi="宋体" w:eastAsia="宋体" w:cs="宋体"/>
                <w:color w:val="auto"/>
                <w:sz w:val="21"/>
                <w:szCs w:val="21"/>
                <w:highlight w:val="none"/>
                <w:lang w:val="en-US" w:eastAsia="zh-CN"/>
              </w:rPr>
              <w:t>业绩</w:t>
            </w:r>
            <w:r>
              <w:rPr>
                <w:rFonts w:hint="eastAsia" w:cs="宋体"/>
                <w:color w:val="auto"/>
                <w:sz w:val="21"/>
                <w:szCs w:val="21"/>
                <w:highlight w:val="none"/>
                <w:lang w:val="en-US" w:eastAsia="zh-CN"/>
              </w:rPr>
              <w:t>情况</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投标人提供自 2023年1月1日至本项目投标截止之日，以合同签订日期为准，完成过同类维保服务业绩，每提供1项业绩得2分，最高得10分。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1.提供项目合同关键页</w:t>
            </w:r>
            <w:r>
              <w:rPr>
                <w:rFonts w:hint="eastAsia" w:cs="宋体"/>
                <w:color w:val="auto"/>
                <w:sz w:val="21"/>
                <w:szCs w:val="21"/>
                <w:highlight w:val="none"/>
                <w:lang w:val="en-US" w:eastAsia="zh-CN"/>
              </w:rPr>
              <w:t>、及与对应的中标通知书或中标公告截图</w:t>
            </w:r>
            <w:r>
              <w:rPr>
                <w:rFonts w:hint="eastAsia" w:ascii="宋体" w:hAnsi="宋体" w:eastAsia="宋体" w:cs="宋体"/>
                <w:color w:val="auto"/>
                <w:sz w:val="21"/>
                <w:szCs w:val="21"/>
                <w:highlight w:val="none"/>
              </w:rPr>
              <w:t>（含签订合同双方的单位名称、合同项目名称、签订合同双方的落款盖章、签订日期的关键页）。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履约服务评价</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投标人在上述“投标人同类业绩情况”评审项中参加评审的业绩，能够提供用户出具的履约评价，且评价为优秀或满意或同等级别【以评分作为评价结果的需达90分（含）以上】的，每提供一项得1分，满分5分。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不提供或者不能有效证明的，不得分。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1.须提供采购方出具的履约评价证明文件。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2.3</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拟投入本项目的检测设备情况</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拟投入本项目的检测设备主要包括：</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（1）数字式照度计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（2）数字温湿度计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（3）数显压差计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（4）风速测试仪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（5）尘埃粒子测试仪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（6）声级计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每提供一个上述检测设备的由投标人委托第三方检测机构自本项目投标截止日时间一年内在其资质能力范围内出具的设备校准证书（包含备名称、型号、校准日期、校准结果、检测机构名称）的，得1分，最高得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1.要求提供与投标人单位名称相符的购买发票（凭证）。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2.提供投标人委托的第三方检测机构的出具的设备校准证书。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3.提供以上证明文件扫描件，未按要求提供有效证明材料或提供不清晰导致评委无法识别的不计得分。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2.4</w:t>
            </w:r>
          </w:p>
        </w:tc>
        <w:tc>
          <w:tcPr>
            <w:tcW w:w="1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诚信评审</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63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加强珠海市政府采购供应商诚信管理有关事项的通知》（珠财采通（2022）20号）要求，对供应商的诚信状况（普通失信行为）进行评分，具体计算公式如下：诚信记录评审得分=供应商上一年度诚信记录得分×5%。 注： 1.采购代理机构于投标截止时间后，在评审活动开始前，通过广东政府采购网“其他监管检查公告”栏和珠海市财政局网站“信用财政”栏查询投标（响应）供应商的诚信状况（即供应商上一年度的诚信记录得分），提供给评标委员会，由评标委员会根据上述公式进行评审打分。 2.首次参加珠海市政府采购活动的供应商诚信管理基础得分为100分，在广东政府采购网“其他监管检查公告”栏和珠海市财政局网站“信用财政”栏查询不到相关供应商扣分记录的，视为该供应商上一年度诚信记录得分为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04"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w:t>
            </w:r>
          </w:p>
        </w:tc>
        <w:tc>
          <w:tcPr>
            <w:tcW w:w="63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p>
        </w:tc>
      </w:tr>
    </w:tbl>
    <w:p>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spacing w:line="480" w:lineRule="exact"/>
        <w:jc w:val="center"/>
        <w:outlineLvl w:val="1"/>
        <w:rPr>
          <w:rFonts w:hint="eastAsia" w:ascii="宋体" w:hAnsi="宋体" w:cs="宋体"/>
          <w:color w:val="auto"/>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：投标报价评分细则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7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414" w:type="dxa"/>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价格部分</w:t>
            </w:r>
          </w:p>
          <w:p>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7481"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报价得分采用低价优先法计算，即满足采购文件要求且投标价格最低的投标报价为评标基准价，其投标报价得分为满分。其他投标人的投标报价得分统一按照下列公式计算：投标报价得分=（评标基准价/投标报价）×</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×100。</w:t>
            </w:r>
          </w:p>
        </w:tc>
      </w:tr>
    </w:tbl>
    <w:p>
      <w:pPr>
        <w:rPr>
          <w:rFonts w:hint="eastAsia"/>
          <w:color w:val="auto"/>
          <w:highlight w:val="none"/>
        </w:rPr>
      </w:pPr>
      <w:r>
        <w:rPr>
          <w:rFonts w:hint="eastAsia"/>
          <w:color w:val="auto"/>
          <w:highlight w:val="none"/>
        </w:rPr>
        <w:br w:type="page"/>
      </w:r>
    </w:p>
    <w:p>
      <w:pPr>
        <w:spacing w:line="360" w:lineRule="auto"/>
        <w:jc w:val="center"/>
        <w:rPr>
          <w:rFonts w:hint="eastAsia" w:ascii="宋体" w:hAnsi="宋体" w:eastAsia="宋体" w:cs="宋体"/>
          <w:b/>
          <w:kern w:val="28"/>
          <w:sz w:val="36"/>
          <w:szCs w:val="36"/>
          <w:lang w:val="en-US" w:eastAsia="zh-CN"/>
        </w:rPr>
      </w:pPr>
      <w:r>
        <w:rPr>
          <w:rFonts w:hint="eastAsia" w:ascii="宋体" w:hAnsi="宋体" w:eastAsia="宋体" w:cs="宋体"/>
          <w:b/>
          <w:kern w:val="28"/>
          <w:sz w:val="36"/>
          <w:szCs w:val="36"/>
          <w:lang w:val="en-US" w:eastAsia="zh-CN"/>
        </w:rPr>
        <w:t>第</w:t>
      </w:r>
      <w:r>
        <w:rPr>
          <w:rFonts w:hint="eastAsia" w:cs="宋体"/>
          <w:b/>
          <w:kern w:val="28"/>
          <w:sz w:val="36"/>
          <w:szCs w:val="36"/>
          <w:lang w:val="en-US" w:eastAsia="zh-CN"/>
        </w:rPr>
        <w:t>五</w:t>
      </w:r>
      <w:r>
        <w:rPr>
          <w:rFonts w:hint="eastAsia" w:ascii="宋体" w:hAnsi="宋体" w:eastAsia="宋体" w:cs="宋体"/>
          <w:b/>
          <w:kern w:val="28"/>
          <w:sz w:val="36"/>
          <w:szCs w:val="36"/>
          <w:lang w:val="en-US" w:eastAsia="zh-CN"/>
        </w:rPr>
        <w:t>部分  投标文件格式（参考）</w:t>
      </w:r>
    </w:p>
    <w:p>
      <w:pPr>
        <w:pStyle w:val="10"/>
        <w:spacing w:line="360" w:lineRule="auto"/>
        <w:ind w:firstLine="1079" w:firstLineChars="448"/>
        <w:jc w:val="center"/>
        <w:rPr>
          <w:rFonts w:hint="eastAsia" w:hAnsi="宋体" w:cs="宋体"/>
          <w:b/>
          <w:kern w:val="2"/>
          <w:sz w:val="24"/>
          <w:szCs w:val="28"/>
        </w:rPr>
      </w:pPr>
    </w:p>
    <w:p>
      <w:pPr>
        <w:pStyle w:val="10"/>
        <w:tabs>
          <w:tab w:val="left" w:pos="1260"/>
        </w:tabs>
        <w:jc w:val="center"/>
        <w:rPr>
          <w:rFonts w:hint="eastAsia" w:hAnsi="宋体" w:cs="宋体"/>
          <w:b/>
          <w:spacing w:val="100"/>
          <w:w w:val="110"/>
          <w:sz w:val="40"/>
          <w:szCs w:val="44"/>
          <w:u w:val="single"/>
        </w:rPr>
      </w:pPr>
    </w:p>
    <w:p>
      <w:pPr>
        <w:pStyle w:val="10"/>
        <w:tabs>
          <w:tab w:val="left" w:pos="1260"/>
        </w:tabs>
        <w:jc w:val="center"/>
        <w:rPr>
          <w:rFonts w:hint="eastAsia" w:hAnsi="宋体" w:cs="宋体"/>
          <w:b/>
          <w:spacing w:val="100"/>
          <w:w w:val="110"/>
          <w:sz w:val="40"/>
          <w:szCs w:val="44"/>
        </w:rPr>
      </w:pPr>
      <w:bookmarkStart w:id="4" w:name="_Toc23416"/>
      <w:r>
        <w:rPr>
          <w:rFonts w:hint="eastAsia" w:hAnsi="宋体" w:cs="宋体"/>
          <w:b/>
          <w:spacing w:val="100"/>
          <w:w w:val="110"/>
          <w:sz w:val="40"/>
          <w:szCs w:val="44"/>
          <w:u w:val="single"/>
        </w:rPr>
        <w:t>（项目名称）</w:t>
      </w:r>
      <w:bookmarkEnd w:id="4"/>
    </w:p>
    <w:p>
      <w:pPr>
        <w:pStyle w:val="10"/>
        <w:jc w:val="center"/>
        <w:rPr>
          <w:rFonts w:hint="eastAsia" w:hAnsi="宋体" w:cs="宋体"/>
          <w:b/>
          <w:sz w:val="40"/>
          <w:szCs w:val="44"/>
        </w:rPr>
      </w:pPr>
      <w:bookmarkStart w:id="5" w:name="_Toc26042"/>
      <w:bookmarkStart w:id="6" w:name="_Toc11453"/>
      <w:r>
        <w:rPr>
          <w:rFonts w:hint="eastAsia" w:hAnsi="宋体" w:cs="宋体"/>
          <w:b/>
          <w:sz w:val="24"/>
          <w:szCs w:val="28"/>
        </w:rPr>
        <w:t>（</w:t>
      </w:r>
      <w:r>
        <w:rPr>
          <w:rFonts w:hint="eastAsia" w:hAnsi="宋体" w:cs="宋体"/>
          <w:b/>
          <w:kern w:val="2"/>
          <w:sz w:val="24"/>
          <w:szCs w:val="28"/>
        </w:rPr>
        <w:t>封面仅供参考</w:t>
      </w:r>
      <w:r>
        <w:rPr>
          <w:rFonts w:hint="eastAsia" w:hAnsi="宋体" w:cs="宋体"/>
          <w:b/>
          <w:sz w:val="24"/>
          <w:szCs w:val="28"/>
        </w:rPr>
        <w:t>）</w:t>
      </w:r>
      <w:bookmarkEnd w:id="5"/>
      <w:bookmarkEnd w:id="6"/>
    </w:p>
    <w:p>
      <w:pPr>
        <w:pStyle w:val="10"/>
        <w:jc w:val="center"/>
        <w:rPr>
          <w:rFonts w:hint="eastAsia" w:hAnsi="宋体" w:cs="宋体"/>
          <w:b/>
          <w:sz w:val="40"/>
          <w:szCs w:val="44"/>
        </w:rPr>
      </w:pPr>
    </w:p>
    <w:p>
      <w:pPr>
        <w:pStyle w:val="10"/>
        <w:jc w:val="center"/>
        <w:rPr>
          <w:rFonts w:hint="eastAsia" w:hAnsi="宋体" w:cs="宋体"/>
          <w:b/>
          <w:sz w:val="40"/>
          <w:szCs w:val="44"/>
        </w:rPr>
      </w:pPr>
    </w:p>
    <w:p>
      <w:pPr>
        <w:pStyle w:val="10"/>
        <w:tabs>
          <w:tab w:val="left" w:pos="1260"/>
        </w:tabs>
        <w:jc w:val="center"/>
        <w:rPr>
          <w:rFonts w:hint="eastAsia" w:hAnsi="宋体" w:cs="宋体"/>
          <w:b/>
          <w:spacing w:val="100"/>
          <w:w w:val="110"/>
          <w:sz w:val="40"/>
          <w:szCs w:val="44"/>
        </w:rPr>
      </w:pPr>
      <w:bookmarkStart w:id="7" w:name="_Toc16706"/>
      <w:r>
        <w:rPr>
          <w:rFonts w:hint="eastAsia" w:hAnsi="宋体" w:cs="宋体"/>
          <w:b/>
          <w:spacing w:val="100"/>
          <w:w w:val="110"/>
          <w:sz w:val="40"/>
          <w:szCs w:val="44"/>
        </w:rPr>
        <w:t>投标文件</w:t>
      </w:r>
      <w:bookmarkEnd w:id="7"/>
    </w:p>
    <w:p>
      <w:pPr>
        <w:pStyle w:val="10"/>
        <w:jc w:val="center"/>
        <w:rPr>
          <w:rFonts w:hint="eastAsia" w:hAnsi="宋体" w:cs="宋体"/>
          <w:b/>
          <w:sz w:val="40"/>
          <w:szCs w:val="44"/>
        </w:rPr>
      </w:pPr>
      <w:bookmarkStart w:id="8" w:name="_Toc32101"/>
      <w:r>
        <w:rPr>
          <w:rFonts w:hint="eastAsia" w:hAnsi="宋体" w:cs="宋体"/>
          <w:b/>
          <w:sz w:val="40"/>
          <w:szCs w:val="44"/>
        </w:rPr>
        <w:t>（正本/副本）</w:t>
      </w:r>
      <w:bookmarkEnd w:id="8"/>
    </w:p>
    <w:p>
      <w:pPr>
        <w:pStyle w:val="10"/>
        <w:jc w:val="center"/>
        <w:rPr>
          <w:rFonts w:hint="eastAsia" w:hAnsi="宋体" w:cs="宋体"/>
          <w:b/>
          <w:sz w:val="40"/>
          <w:szCs w:val="44"/>
        </w:rPr>
      </w:pPr>
    </w:p>
    <w:p>
      <w:pPr>
        <w:pStyle w:val="10"/>
        <w:jc w:val="center"/>
        <w:rPr>
          <w:rFonts w:hint="eastAsia" w:hAnsi="宋体" w:cs="宋体"/>
          <w:b/>
          <w:sz w:val="40"/>
          <w:szCs w:val="44"/>
        </w:rPr>
      </w:pPr>
    </w:p>
    <w:p>
      <w:pPr>
        <w:pStyle w:val="10"/>
        <w:jc w:val="center"/>
        <w:rPr>
          <w:rFonts w:hint="eastAsia" w:hAnsi="宋体" w:cs="宋体"/>
          <w:b/>
          <w:sz w:val="40"/>
          <w:szCs w:val="44"/>
        </w:rPr>
      </w:pPr>
    </w:p>
    <w:p>
      <w:pPr>
        <w:pStyle w:val="10"/>
        <w:jc w:val="center"/>
        <w:rPr>
          <w:rFonts w:hint="eastAsia" w:hAnsi="宋体" w:cs="宋体"/>
          <w:b/>
          <w:sz w:val="40"/>
          <w:szCs w:val="44"/>
        </w:rPr>
      </w:pPr>
    </w:p>
    <w:p>
      <w:pPr>
        <w:pStyle w:val="10"/>
        <w:jc w:val="center"/>
        <w:rPr>
          <w:rFonts w:hint="eastAsia" w:hAnsi="宋体" w:cs="宋体"/>
          <w:b/>
          <w:sz w:val="40"/>
          <w:szCs w:val="44"/>
        </w:rPr>
      </w:pPr>
    </w:p>
    <w:p>
      <w:pPr>
        <w:pStyle w:val="10"/>
        <w:spacing w:line="360" w:lineRule="auto"/>
        <w:ind w:firstLine="1079" w:firstLineChars="448"/>
        <w:rPr>
          <w:rFonts w:hint="eastAsia" w:hAnsi="宋体" w:cs="宋体"/>
          <w:b/>
          <w:sz w:val="24"/>
          <w:szCs w:val="28"/>
          <w:u w:val="thick"/>
        </w:rPr>
      </w:pPr>
      <w:bookmarkStart w:id="9" w:name="_Toc15848"/>
      <w:bookmarkStart w:id="10" w:name="_Toc30247"/>
      <w:r>
        <w:rPr>
          <w:rFonts w:hint="eastAsia" w:hAnsi="宋体" w:cs="宋体"/>
          <w:b/>
          <w:sz w:val="24"/>
          <w:szCs w:val="28"/>
        </w:rPr>
        <w:t>项目编号：</w:t>
      </w:r>
      <w:bookmarkEnd w:id="9"/>
      <w:bookmarkEnd w:id="10"/>
      <w:r>
        <w:rPr>
          <w:rFonts w:hint="eastAsia" w:hAnsi="宋体" w:cs="宋体"/>
          <w:b/>
          <w:sz w:val="24"/>
          <w:szCs w:val="28"/>
          <w:u w:val="thick"/>
        </w:rPr>
        <w:t xml:space="preserve">                       </w:t>
      </w:r>
    </w:p>
    <w:p>
      <w:pPr>
        <w:pStyle w:val="10"/>
        <w:spacing w:line="360" w:lineRule="auto"/>
        <w:ind w:firstLine="1079" w:firstLineChars="448"/>
        <w:rPr>
          <w:rFonts w:hint="eastAsia" w:hAnsi="宋体" w:cs="宋体"/>
          <w:b/>
          <w:sz w:val="24"/>
          <w:szCs w:val="28"/>
          <w:u w:val="single"/>
        </w:rPr>
      </w:pPr>
      <w:bookmarkStart w:id="11" w:name="_Toc32471"/>
      <w:bookmarkStart w:id="12" w:name="_Toc14520"/>
      <w:r>
        <w:rPr>
          <w:rFonts w:hint="eastAsia" w:hAnsi="宋体" w:cs="宋体"/>
          <w:b/>
          <w:sz w:val="24"/>
          <w:szCs w:val="28"/>
        </w:rPr>
        <w:t>项目名称：</w:t>
      </w:r>
      <w:bookmarkEnd w:id="11"/>
      <w:bookmarkEnd w:id="12"/>
      <w:r>
        <w:rPr>
          <w:rFonts w:hint="eastAsia" w:hAnsi="宋体" w:cs="宋体"/>
          <w:b/>
          <w:sz w:val="24"/>
          <w:szCs w:val="28"/>
          <w:u w:val="single"/>
        </w:rPr>
        <w:t xml:space="preserve">                       </w:t>
      </w:r>
    </w:p>
    <w:p>
      <w:pPr>
        <w:pStyle w:val="10"/>
        <w:ind w:firstLine="1234" w:firstLineChars="512"/>
        <w:rPr>
          <w:rFonts w:hint="eastAsia" w:hAnsi="宋体" w:cs="宋体"/>
          <w:b/>
          <w:sz w:val="24"/>
          <w:szCs w:val="28"/>
        </w:rPr>
      </w:pPr>
    </w:p>
    <w:p>
      <w:pPr>
        <w:pStyle w:val="10"/>
        <w:ind w:firstLine="2056" w:firstLineChars="512"/>
        <w:rPr>
          <w:rFonts w:hint="eastAsia" w:hAnsi="宋体" w:cs="宋体"/>
          <w:b/>
          <w:sz w:val="40"/>
          <w:szCs w:val="44"/>
        </w:rPr>
      </w:pPr>
    </w:p>
    <w:p>
      <w:pPr>
        <w:pStyle w:val="10"/>
        <w:ind w:firstLine="2056" w:firstLineChars="512"/>
        <w:rPr>
          <w:rFonts w:hint="eastAsia" w:hAnsi="宋体" w:cs="宋体"/>
          <w:b/>
          <w:sz w:val="40"/>
          <w:szCs w:val="44"/>
        </w:rPr>
      </w:pPr>
    </w:p>
    <w:p>
      <w:pPr>
        <w:pStyle w:val="10"/>
        <w:ind w:firstLine="2056" w:firstLineChars="512"/>
        <w:rPr>
          <w:rFonts w:hint="eastAsia" w:hAnsi="宋体" w:cs="宋体"/>
          <w:b/>
          <w:sz w:val="40"/>
          <w:szCs w:val="44"/>
        </w:rPr>
      </w:pPr>
    </w:p>
    <w:p>
      <w:pPr>
        <w:pStyle w:val="10"/>
        <w:ind w:firstLine="2056" w:firstLineChars="512"/>
        <w:rPr>
          <w:rFonts w:hint="eastAsia" w:hAnsi="宋体" w:cs="宋体"/>
          <w:b/>
          <w:sz w:val="40"/>
          <w:szCs w:val="44"/>
        </w:rPr>
      </w:pPr>
    </w:p>
    <w:p>
      <w:pPr>
        <w:pStyle w:val="10"/>
        <w:spacing w:line="360" w:lineRule="auto"/>
        <w:ind w:firstLine="1234" w:firstLineChars="512"/>
        <w:rPr>
          <w:rFonts w:hint="eastAsia" w:hAnsi="宋体" w:cs="宋体"/>
          <w:b/>
          <w:sz w:val="24"/>
          <w:szCs w:val="28"/>
          <w:u w:val="single"/>
        </w:rPr>
      </w:pPr>
      <w:bookmarkStart w:id="13" w:name="_Toc14406"/>
      <w:bookmarkStart w:id="14" w:name="_Toc14647"/>
      <w:r>
        <w:rPr>
          <w:rFonts w:hint="eastAsia" w:hAnsi="宋体" w:cs="宋体"/>
          <w:b/>
          <w:sz w:val="24"/>
          <w:szCs w:val="28"/>
        </w:rPr>
        <w:t>投标人名称（盖章）：</w:t>
      </w:r>
      <w:bookmarkEnd w:id="13"/>
      <w:bookmarkEnd w:id="14"/>
      <w:r>
        <w:rPr>
          <w:rFonts w:hint="eastAsia" w:hAnsi="宋体" w:cs="宋体"/>
          <w:b/>
          <w:sz w:val="24"/>
          <w:szCs w:val="28"/>
          <w:u w:val="single"/>
        </w:rPr>
        <w:t xml:space="preserve">                          </w:t>
      </w:r>
    </w:p>
    <w:p>
      <w:pPr>
        <w:autoSpaceDE w:val="0"/>
        <w:autoSpaceDN w:val="0"/>
        <w:spacing w:line="240" w:lineRule="atLeast"/>
        <w:ind w:firstLine="1234" w:firstLineChars="512"/>
        <w:rPr>
          <w:rFonts w:hint="eastAsia" w:ascii="宋体" w:hAnsi="宋体" w:cs="宋体"/>
          <w:b/>
          <w:sz w:val="24"/>
          <w:szCs w:val="28"/>
          <w:u w:val="single"/>
        </w:rPr>
      </w:pPr>
      <w:bookmarkStart w:id="15" w:name="_Toc30455"/>
      <w:bookmarkStart w:id="16" w:name="_Toc4787"/>
      <w:r>
        <w:rPr>
          <w:rFonts w:hint="eastAsia" w:ascii="宋体" w:hAnsi="宋体" w:cs="宋体"/>
          <w:b/>
          <w:sz w:val="24"/>
          <w:szCs w:val="28"/>
        </w:rPr>
        <w:t>日      期：</w:t>
      </w:r>
      <w:r>
        <w:rPr>
          <w:rFonts w:hint="eastAsia" w:ascii="宋体" w:hAnsi="宋体" w:cs="宋体"/>
          <w:b/>
          <w:sz w:val="24"/>
          <w:szCs w:val="28"/>
          <w:u w:val="single"/>
        </w:rPr>
        <w:t xml:space="preserve">          </w:t>
      </w:r>
      <w:r>
        <w:rPr>
          <w:rFonts w:hint="eastAsia" w:ascii="宋体" w:hAnsi="宋体" w:cs="宋体"/>
          <w:b/>
          <w:sz w:val="24"/>
          <w:szCs w:val="28"/>
        </w:rPr>
        <w:t>年</w:t>
      </w:r>
      <w:r>
        <w:rPr>
          <w:rFonts w:hint="eastAsia" w:ascii="宋体" w:hAnsi="宋体" w:cs="宋体"/>
          <w:b/>
          <w:sz w:val="24"/>
          <w:szCs w:val="28"/>
          <w:u w:val="single"/>
        </w:rPr>
        <w:t xml:space="preserve">     </w:t>
      </w:r>
      <w:r>
        <w:rPr>
          <w:rFonts w:hint="eastAsia" w:ascii="宋体" w:hAnsi="宋体" w:cs="宋体"/>
          <w:b/>
          <w:sz w:val="24"/>
          <w:szCs w:val="28"/>
        </w:rPr>
        <w:t>月</w:t>
      </w:r>
      <w:r>
        <w:rPr>
          <w:rFonts w:hint="eastAsia" w:ascii="宋体" w:hAnsi="宋体" w:cs="宋体"/>
          <w:b/>
          <w:sz w:val="24"/>
          <w:szCs w:val="28"/>
          <w:u w:val="single"/>
        </w:rPr>
        <w:t xml:space="preserve">     </w:t>
      </w:r>
      <w:r>
        <w:rPr>
          <w:rFonts w:hint="eastAsia" w:ascii="宋体" w:hAnsi="宋体" w:cs="宋体"/>
          <w:b/>
          <w:sz w:val="24"/>
          <w:szCs w:val="28"/>
        </w:rPr>
        <w:t>日</w:t>
      </w:r>
      <w:bookmarkEnd w:id="15"/>
      <w:bookmarkEnd w:id="16"/>
    </w:p>
    <w:p>
      <w:pPr>
        <w:rPr>
          <w:rFonts w:hint="eastAsia" w:ascii="宋体" w:hAnsi="宋体" w:cs="宋体"/>
          <w:sz w:val="44"/>
          <w:szCs w:val="44"/>
        </w:rPr>
      </w:pPr>
    </w:p>
    <w:p>
      <w:pPr>
        <w:widowControl/>
        <w:autoSpaceDE w:val="0"/>
        <w:autoSpaceDN w:val="0"/>
        <w:adjustRightInd w:val="0"/>
        <w:snapToGrid w:val="0"/>
        <w:spacing w:before="0" w:after="0" w:line="360" w:lineRule="auto"/>
        <w:ind w:left="0" w:right="0"/>
        <w:jc w:val="center"/>
        <w:rPr>
          <w:rFonts w:hint="eastAsia" w:ascii="宋体" w:hAnsi="宋体" w:cs="Times New Roman"/>
          <w:b/>
          <w:color w:val="auto"/>
          <w:sz w:val="28"/>
          <w:szCs w:val="28"/>
          <w:highlight w:val="none"/>
          <w:lang w:val="en-US" w:bidi="ar-SA"/>
        </w:rPr>
      </w:pPr>
      <w:r>
        <w:rPr>
          <w:rFonts w:hint="eastAsia" w:ascii="宋体" w:hAnsi="宋体" w:cs="宋体"/>
        </w:rPr>
        <w:br w:type="page"/>
      </w:r>
      <w:bookmarkStart w:id="17" w:name="_Toc3272"/>
      <w:bookmarkStart w:id="18" w:name="_Toc21657"/>
      <w:bookmarkStart w:id="19" w:name="_Toc20229"/>
      <w:bookmarkStart w:id="20" w:name="_Toc202252039"/>
      <w:bookmarkStart w:id="21" w:name="_Toc202820357"/>
      <w:bookmarkStart w:id="22" w:name="_Toc202251704"/>
      <w:bookmarkStart w:id="23" w:name="_Toc22728"/>
      <w:bookmarkStart w:id="24" w:name="_Toc202817002"/>
      <w:bookmarkStart w:id="25" w:name="_Toc202251079"/>
      <w:bookmarkStart w:id="26" w:name="_Toc202254110"/>
      <w:bookmarkStart w:id="27" w:name="_Toc202819884"/>
    </w:p>
    <w:p>
      <w:pPr>
        <w:widowControl w:val="0"/>
        <w:spacing w:line="240" w:lineRule="auto"/>
        <w:ind w:firstLine="0" w:firstLineChars="0"/>
        <w:jc w:val="both"/>
        <w:rPr>
          <w:rFonts w:ascii="Calibri" w:hAnsi="Calibri" w:eastAsia="宋体" w:cs="Times New Roman"/>
          <w:b/>
          <w:color w:val="auto"/>
          <w:sz w:val="28"/>
          <w:highlight w:val="none"/>
          <w:lang w:val="en-US" w:eastAsia="zh-CN" w:bidi="ar-SA"/>
        </w:rPr>
      </w:pPr>
      <w:bookmarkStart w:id="28" w:name="_Toc202252033"/>
      <w:bookmarkStart w:id="29" w:name="_Toc202251699"/>
      <w:bookmarkStart w:id="30" w:name="_Toc202816995"/>
      <w:bookmarkStart w:id="31" w:name="_Toc202819877"/>
      <w:bookmarkStart w:id="32" w:name="_Toc202254104"/>
      <w:bookmarkStart w:id="33" w:name="_Toc202251074"/>
      <w:bookmarkStart w:id="34" w:name="_Toc202820350"/>
      <w:r>
        <w:rPr>
          <w:rFonts w:hint="eastAsia" w:ascii="Calibri" w:hAnsi="Calibri" w:eastAsia="宋体" w:cs="Times New Roman"/>
          <w:b/>
          <w:color w:val="auto"/>
          <w:sz w:val="28"/>
          <w:highlight w:val="none"/>
          <w:lang w:val="en-US" w:eastAsia="zh-CN" w:bidi="ar-SA"/>
        </w:rPr>
        <w:t>一、自查表</w:t>
      </w:r>
      <w:bookmarkEnd w:id="28"/>
      <w:bookmarkEnd w:id="29"/>
      <w:bookmarkEnd w:id="30"/>
      <w:bookmarkEnd w:id="31"/>
      <w:bookmarkEnd w:id="32"/>
      <w:bookmarkEnd w:id="33"/>
      <w:bookmarkEnd w:id="34"/>
    </w:p>
    <w:p>
      <w:pPr>
        <w:widowControl w:val="0"/>
        <w:spacing w:after="0" w:line="360" w:lineRule="auto"/>
        <w:jc w:val="center"/>
        <w:rPr>
          <w:rFonts w:ascii="宋体" w:hAnsi="宋体" w:eastAsia="宋体" w:cs="宋体"/>
          <w:b/>
          <w:color w:val="auto"/>
          <w:kern w:val="2"/>
          <w:sz w:val="24"/>
          <w:szCs w:val="24"/>
          <w:highlight w:val="none"/>
          <w:lang w:val="en-US" w:eastAsia="zh-CN" w:bidi="ar-SA"/>
        </w:rPr>
      </w:pPr>
      <w:r>
        <w:rPr>
          <w:rFonts w:hint="eastAsia" w:ascii="宋体" w:hAnsi="宋体" w:cs="宋体"/>
          <w:b/>
          <w:color w:val="auto"/>
          <w:sz w:val="24"/>
          <w:szCs w:val="24"/>
          <w:highlight w:val="none"/>
          <w:lang w:val="en-US" w:eastAsia="zh-CN"/>
        </w:rPr>
        <w:t>1.1资格</w:t>
      </w:r>
      <w:r>
        <w:rPr>
          <w:rFonts w:hint="eastAsia" w:ascii="宋体" w:hAnsi="宋体" w:eastAsia="宋体" w:cs="宋体"/>
          <w:b/>
          <w:color w:val="auto"/>
          <w:kern w:val="2"/>
          <w:sz w:val="24"/>
          <w:szCs w:val="24"/>
          <w:highlight w:val="none"/>
          <w:lang w:val="en-US" w:eastAsia="zh-CN" w:bidi="ar-SA"/>
        </w:rPr>
        <w:t>性、符合性自查表</w:t>
      </w:r>
    </w:p>
    <w:tbl>
      <w:tblPr>
        <w:tblStyle w:val="16"/>
        <w:tblW w:w="9857" w:type="dxa"/>
        <w:tblInd w:w="-28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560"/>
        <w:gridCol w:w="7113"/>
        <w:gridCol w:w="1033"/>
        <w:gridCol w:w="11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29"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序号</w:t>
            </w:r>
          </w:p>
        </w:tc>
        <w:tc>
          <w:tcPr>
            <w:tcW w:w="7113" w:type="dxa"/>
            <w:tcBorders>
              <w:left w:val="single" w:color="auto" w:sz="4" w:space="0"/>
            </w:tcBorders>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审查内容</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自查结论</w:t>
            </w:r>
          </w:p>
        </w:tc>
        <w:tc>
          <w:tcPr>
            <w:tcW w:w="1151" w:type="dxa"/>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1</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（4）履行合同所必需的设备和专业技术能力：提供《投标人资格声明函》。</w:t>
            </w:r>
          </w:p>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（5）参加采购活动前3年内，在经营活动中没有重大违法记录：提供《投标人资格声明函》。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3</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ascii="宋体" w:hAnsi="宋体" w:cs="宋体"/>
                <w:color w:val="auto"/>
                <w:sz w:val="21"/>
                <w:szCs w:val="21"/>
                <w:highlight w:val="none"/>
                <w:lang w:val="en-US" w:bidi="ar-SA"/>
              </w:rPr>
            </w:pPr>
            <w:r>
              <w:rPr>
                <w:rFonts w:ascii="宋体" w:hAnsi="宋体" w:cs="宋体"/>
                <w:color w:val="auto"/>
                <w:sz w:val="21"/>
                <w:szCs w:val="21"/>
                <w:highlight w:val="none"/>
                <w:lang w:val="en-US" w:bidi="ar-SA"/>
              </w:rPr>
              <w:t>4</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58"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5</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按照招标文件规定要求签署、盖章且投标文件有法定代表人签字或盖个人名章（或签字人有法定代表人有效授权书）的</w:t>
            </w:r>
            <w:r>
              <w:rPr>
                <w:rFonts w:hint="eastAsia"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cs="宋体"/>
                <w:color w:val="auto"/>
                <w:sz w:val="21"/>
                <w:szCs w:val="20"/>
                <w:highlight w:val="none"/>
                <w:lang w:val="en-US" w:eastAsia="zh-CN" w:bidi="ar-SA"/>
              </w:rPr>
              <w:t>□</w:t>
            </w: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6</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投标报价未超过本项目最高限价的</w:t>
            </w:r>
            <w:r>
              <w:rPr>
                <w:rFonts w:hint="eastAsia"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7</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投标文件未出现选择性报价或有附加条件报价的情形</w:t>
            </w:r>
            <w:r>
              <w:rPr>
                <w:rFonts w:hint="eastAsia" w:ascii="宋体" w:hAnsi="宋体" w:eastAsia="宋体"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结论</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p>
        </w:tc>
        <w:tc>
          <w:tcPr>
            <w:tcW w:w="1151" w:type="dxa"/>
            <w:vAlign w:val="center"/>
          </w:tcPr>
          <w:p>
            <w:pPr>
              <w:widowControl/>
              <w:autoSpaceDE/>
              <w:autoSpaceDN/>
              <w:spacing w:before="0" w:after="0" w:line="240" w:lineRule="auto"/>
              <w:ind w:left="0" w:right="0"/>
              <w:jc w:val="left"/>
              <w:rPr>
                <w:rFonts w:ascii="宋体" w:hAnsi="宋体" w:cs="宋体"/>
                <w:color w:val="auto"/>
                <w:sz w:val="21"/>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不通过原因说明</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p>
        </w:tc>
        <w:tc>
          <w:tcPr>
            <w:tcW w:w="1151" w:type="dxa"/>
            <w:vAlign w:val="center"/>
          </w:tcPr>
          <w:p>
            <w:pPr>
              <w:widowControl/>
              <w:autoSpaceDE/>
              <w:autoSpaceDN/>
              <w:spacing w:before="0" w:after="0" w:line="240" w:lineRule="auto"/>
              <w:ind w:left="0" w:right="0"/>
              <w:jc w:val="left"/>
              <w:rPr>
                <w:rFonts w:ascii="宋体" w:hAnsi="宋体" w:cs="宋体"/>
                <w:color w:val="auto"/>
                <w:sz w:val="21"/>
                <w:szCs w:val="20"/>
                <w:highlight w:val="none"/>
                <w:lang w:val="en-US" w:bidi="ar-SA"/>
              </w:rPr>
            </w:pPr>
          </w:p>
        </w:tc>
      </w:tr>
    </w:tbl>
    <w:p>
      <w:pPr>
        <w:widowControl w:val="0"/>
        <w:spacing w:after="120" w:line="240" w:lineRule="auto"/>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GB" w:eastAsia="zh-CN" w:bidi="ar-SA"/>
        </w:rPr>
        <w:t>说明</w:t>
      </w:r>
      <w:r>
        <w:rPr>
          <w:rFonts w:hint="eastAsia" w:ascii="宋体" w:hAnsi="宋体" w:eastAsia="宋体" w:cs="宋体"/>
          <w:color w:val="auto"/>
          <w:kern w:val="2"/>
          <w:sz w:val="21"/>
          <w:szCs w:val="21"/>
          <w:highlight w:val="none"/>
          <w:lang w:val="en-US" w:eastAsia="zh-CN" w:bidi="ar-SA"/>
        </w:rPr>
        <w:t>：以上材料将作为投标人合格性和有效性审核的重要内容之一，投标人必须严格按照其内容及序列要求在投标文件中对应如实提供，对缺漏和不符合项将会直接导致无效投标！在对应的□打“√”。</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投标人代表签字或签章：</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投标人名称（加盖公章）：</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日期：</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年 </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月 </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日</w:t>
      </w:r>
    </w:p>
    <w:p>
      <w:pPr>
        <w:widowControl/>
        <w:autoSpaceDE/>
        <w:autoSpaceDN/>
        <w:spacing w:before="0" w:after="0" w:line="240" w:lineRule="auto"/>
        <w:ind w:left="0" w:right="0"/>
        <w:jc w:val="left"/>
        <w:rPr>
          <w:rFonts w:ascii="宋体" w:hAnsi="宋体" w:cs="宋体"/>
          <w:color w:val="auto"/>
          <w:sz w:val="21"/>
          <w:szCs w:val="21"/>
          <w:highlight w:val="none"/>
          <w:lang w:val="en-US" w:bidi="ar-SA"/>
        </w:rPr>
      </w:pPr>
      <w:r>
        <w:rPr>
          <w:rFonts w:ascii="宋体" w:hAnsi="宋体" w:cs="宋体"/>
          <w:color w:val="auto"/>
          <w:sz w:val="21"/>
          <w:szCs w:val="21"/>
          <w:highlight w:val="none"/>
          <w:lang w:val="en-US" w:bidi="ar-SA"/>
        </w:rPr>
        <w:br w:type="page"/>
      </w:r>
    </w:p>
    <w:p>
      <w:pPr>
        <w:jc w:val="center"/>
        <w:rPr>
          <w:rFonts w:hint="eastAsia" w:ascii="宋体" w:hAnsi="宋体" w:cs="宋体"/>
          <w:b/>
          <w:color w:val="auto"/>
          <w:sz w:val="24"/>
          <w:szCs w:val="24"/>
          <w:highlight w:val="none"/>
        </w:rPr>
      </w:pPr>
      <w:bookmarkStart w:id="35" w:name="_Toc2764"/>
      <w:bookmarkStart w:id="36" w:name="_Toc4173"/>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商务</w:t>
      </w:r>
      <w:r>
        <w:rPr>
          <w:rFonts w:hint="eastAsia" w:ascii="宋体" w:hAnsi="宋体" w:cs="宋体"/>
          <w:b/>
          <w:color w:val="auto"/>
          <w:sz w:val="24"/>
          <w:szCs w:val="24"/>
          <w:highlight w:val="none"/>
          <w:lang w:val="en-US" w:eastAsia="zh-CN"/>
        </w:rPr>
        <w:t>技术</w:t>
      </w:r>
      <w:r>
        <w:rPr>
          <w:rFonts w:hint="eastAsia" w:ascii="宋体" w:hAnsi="宋体" w:cs="宋体"/>
          <w:b/>
          <w:color w:val="auto"/>
          <w:sz w:val="24"/>
          <w:szCs w:val="24"/>
          <w:highlight w:val="none"/>
        </w:rPr>
        <w:t>部分评审自查表</w:t>
      </w:r>
      <w:bookmarkEnd w:id="35"/>
      <w:bookmarkEnd w:id="3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3127"/>
        <w:gridCol w:w="4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36"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127" w:type="dxa"/>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评审内容</w:t>
            </w:r>
          </w:p>
        </w:tc>
        <w:tc>
          <w:tcPr>
            <w:tcW w:w="4159" w:type="dxa"/>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27" w:type="dxa"/>
            <w:noWrap w:val="0"/>
            <w:vAlign w:val="center"/>
          </w:tcPr>
          <w:p>
            <w:pPr>
              <w:pStyle w:val="11"/>
              <w:tabs>
                <w:tab w:val="left" w:pos="420"/>
              </w:tabs>
              <w:spacing w:line="360" w:lineRule="auto"/>
              <w:jc w:val="center"/>
              <w:rPr>
                <w:rFonts w:hint="eastAsia" w:ascii="宋体" w:hAnsi="宋体" w:cs="宋体"/>
                <w:color w:val="auto"/>
                <w:sz w:val="21"/>
                <w:szCs w:val="21"/>
                <w:highlight w:val="none"/>
              </w:rPr>
            </w:pPr>
          </w:p>
        </w:tc>
        <w:tc>
          <w:tcPr>
            <w:tcW w:w="415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27" w:type="dxa"/>
            <w:noWrap w:val="0"/>
            <w:vAlign w:val="center"/>
          </w:tcPr>
          <w:p>
            <w:pPr>
              <w:spacing w:line="360" w:lineRule="auto"/>
              <w:jc w:val="center"/>
              <w:rPr>
                <w:rFonts w:hint="eastAsia" w:ascii="宋体" w:hAnsi="宋体" w:cs="宋体"/>
                <w:color w:val="auto"/>
                <w:szCs w:val="21"/>
                <w:highlight w:val="none"/>
              </w:rPr>
            </w:pPr>
          </w:p>
        </w:tc>
        <w:tc>
          <w:tcPr>
            <w:tcW w:w="415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127" w:type="dxa"/>
            <w:noWrap w:val="0"/>
            <w:vAlign w:val="center"/>
          </w:tcPr>
          <w:p>
            <w:pPr>
              <w:spacing w:line="360" w:lineRule="auto"/>
              <w:jc w:val="center"/>
              <w:rPr>
                <w:rFonts w:hint="eastAsia" w:ascii="宋体" w:hAnsi="宋体" w:cs="宋体"/>
                <w:color w:val="auto"/>
                <w:szCs w:val="21"/>
                <w:highlight w:val="none"/>
              </w:rPr>
            </w:pPr>
          </w:p>
        </w:tc>
        <w:tc>
          <w:tcPr>
            <w:tcW w:w="415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36"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127" w:type="dxa"/>
            <w:noWrap w:val="0"/>
            <w:vAlign w:val="center"/>
          </w:tcPr>
          <w:p>
            <w:pPr>
              <w:spacing w:line="360" w:lineRule="auto"/>
              <w:jc w:val="center"/>
              <w:rPr>
                <w:rFonts w:hint="eastAsia" w:ascii="宋体" w:hAnsi="宋体" w:cs="宋体"/>
                <w:color w:val="auto"/>
                <w:szCs w:val="21"/>
                <w:highlight w:val="none"/>
              </w:rPr>
            </w:pPr>
          </w:p>
        </w:tc>
        <w:tc>
          <w:tcPr>
            <w:tcW w:w="4159" w:type="dxa"/>
            <w:noWrap w:val="0"/>
            <w:vAlign w:val="center"/>
          </w:tcPr>
          <w:p>
            <w:pPr>
              <w:jc w:val="center"/>
              <w:rPr>
                <w:rFonts w:hint="eastAsia" w:ascii="宋体" w:hAnsi="宋体" w:cs="宋体"/>
                <w:color w:val="auto"/>
                <w:szCs w:val="21"/>
                <w:highlight w:val="none"/>
              </w:rPr>
            </w:pPr>
          </w:p>
        </w:tc>
      </w:tr>
    </w:tbl>
    <w:p>
      <w:pPr>
        <w:pStyle w:val="8"/>
        <w:spacing w:after="0"/>
        <w:ind w:left="424" w:hanging="424" w:hangingChars="202"/>
        <w:rPr>
          <w:rFonts w:hint="eastAsia" w:ascii="宋体" w:hAnsi="宋体" w:cs="宋体"/>
          <w:color w:val="auto"/>
          <w:sz w:val="21"/>
          <w:szCs w:val="21"/>
          <w:highlight w:val="none"/>
          <w:lang w:val="en-GB"/>
        </w:rPr>
      </w:pPr>
    </w:p>
    <w:p>
      <w:pPr>
        <w:rPr>
          <w:rFonts w:hint="eastAsia" w:ascii="宋体" w:hAnsi="宋体" w:cs="宋体"/>
          <w:color w:val="auto"/>
          <w:szCs w:val="21"/>
          <w:highlight w:val="none"/>
          <w:lang w:val="en-GB"/>
        </w:rPr>
      </w:pPr>
      <w:r>
        <w:rPr>
          <w:rFonts w:hint="eastAsia" w:ascii="宋体" w:hAnsi="宋体" w:cs="宋体"/>
          <w:color w:val="auto"/>
          <w:szCs w:val="21"/>
          <w:highlight w:val="none"/>
        </w:rPr>
        <w:t>说明</w:t>
      </w:r>
      <w:r>
        <w:rPr>
          <w:rFonts w:hint="eastAsia" w:ascii="宋体" w:hAnsi="宋体" w:cs="宋体"/>
          <w:color w:val="auto"/>
          <w:szCs w:val="21"/>
          <w:highlight w:val="none"/>
          <w:lang w:val="en-GB"/>
        </w:rPr>
        <w:t>：</w:t>
      </w:r>
      <w:r>
        <w:rPr>
          <w:rFonts w:hint="eastAsia" w:ascii="宋体" w:hAnsi="宋体" w:cs="宋体"/>
          <w:color w:val="auto"/>
          <w:szCs w:val="21"/>
          <w:highlight w:val="none"/>
        </w:rPr>
        <w:t>投标人应根据《商务</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评分细则》的各项内容填写此表</w:t>
      </w:r>
      <w:r>
        <w:rPr>
          <w:rFonts w:hint="eastAsia" w:ascii="宋体" w:hAnsi="宋体" w:cs="宋体"/>
          <w:color w:val="auto"/>
          <w:szCs w:val="21"/>
          <w:highlight w:val="none"/>
          <w:lang w:val="en-GB"/>
        </w:rPr>
        <w:t>。</w:t>
      </w:r>
    </w:p>
    <w:p>
      <w:pPr>
        <w:pStyle w:val="8"/>
        <w:spacing w:after="0"/>
        <w:rPr>
          <w:rFonts w:hint="eastAsia" w:ascii="宋体" w:hAnsi="宋体" w:cs="宋体"/>
          <w:color w:val="auto"/>
          <w:sz w:val="21"/>
          <w:szCs w:val="21"/>
          <w:highlight w:val="none"/>
          <w:lang w:val="en-GB"/>
        </w:rPr>
      </w:pPr>
    </w:p>
    <w:p>
      <w:pPr>
        <w:adjustRightInd w:val="0"/>
        <w:snapToGrid w:val="0"/>
        <w:spacing w:line="300" w:lineRule="auto"/>
        <w:rPr>
          <w:rFonts w:hint="eastAsia" w:ascii="宋体" w:hAnsi="宋体" w:cs="宋体"/>
          <w:color w:val="auto"/>
          <w:szCs w:val="21"/>
          <w:highlight w:val="none"/>
        </w:rPr>
      </w:pPr>
      <w:r>
        <w:rPr>
          <w:rFonts w:hint="eastAsia" w:ascii="宋体" w:hAnsi="宋体" w:cs="宋体"/>
          <w:color w:val="auto"/>
          <w:szCs w:val="21"/>
          <w:highlight w:val="none"/>
        </w:rPr>
        <w:t>投标人代表签字或者签章：</w:t>
      </w:r>
    </w:p>
    <w:p>
      <w:pPr>
        <w:adjustRightInd w:val="0"/>
        <w:snapToGrid w:val="0"/>
        <w:spacing w:line="300" w:lineRule="auto"/>
        <w:rPr>
          <w:rFonts w:hint="eastAsia" w:ascii="宋体" w:hAnsi="宋体" w:cs="宋体"/>
          <w:color w:val="auto"/>
          <w:szCs w:val="21"/>
          <w:highlight w:val="none"/>
        </w:rPr>
      </w:pPr>
      <w:r>
        <w:rPr>
          <w:rFonts w:hint="eastAsia" w:ascii="宋体" w:hAnsi="宋体" w:cs="宋体"/>
          <w:color w:val="auto"/>
          <w:szCs w:val="21"/>
          <w:highlight w:val="none"/>
        </w:rPr>
        <w:t>投标人名称（加盖公章）：</w:t>
      </w:r>
    </w:p>
    <w:p>
      <w:pPr>
        <w:adjustRightInd w:val="0"/>
        <w:snapToGrid w:val="0"/>
        <w:spacing w:line="300" w:lineRule="auto"/>
        <w:rPr>
          <w:rFonts w:hint="eastAsia" w:ascii="宋体" w:hAnsi="宋体" w:cs="宋体"/>
          <w:color w:val="auto"/>
          <w:szCs w:val="21"/>
          <w:highlight w:val="none"/>
        </w:rPr>
      </w:pPr>
      <w:r>
        <w:rPr>
          <w:rFonts w:hint="eastAsia" w:ascii="宋体" w:hAnsi="宋体" w:cs="宋体"/>
          <w:color w:val="auto"/>
          <w:szCs w:val="21"/>
          <w:highlight w:val="none"/>
        </w:rPr>
        <w:t>日                  期：年 月 日</w:t>
      </w:r>
    </w:p>
    <w:p>
      <w:pPr>
        <w:rPr>
          <w:lang w:val="en-US"/>
        </w:rPr>
      </w:pPr>
      <w:r>
        <w:rPr>
          <w:rFonts w:hint="eastAsia" w:ascii="宋体" w:hAnsi="宋体" w:cs="宋体"/>
          <w:color w:val="auto"/>
          <w:sz w:val="24"/>
          <w:szCs w:val="24"/>
          <w:highlight w:val="none"/>
        </w:rPr>
        <w:br w:type="page"/>
      </w:r>
    </w:p>
    <w:p>
      <w:pPr>
        <w:widowControl/>
        <w:autoSpaceDE/>
        <w:autoSpaceDN/>
        <w:snapToGrid w:val="0"/>
        <w:spacing w:before="0" w:after="0" w:line="240" w:lineRule="auto"/>
        <w:ind w:left="0" w:right="0"/>
        <w:jc w:val="center"/>
        <w:rPr>
          <w:rFonts w:ascii="宋体" w:hAnsi="宋体" w:cs="宋体"/>
          <w:b/>
          <w:color w:val="auto"/>
          <w:sz w:val="24"/>
          <w:szCs w:val="20"/>
          <w:highlight w:val="none"/>
          <w:lang w:val="en-US" w:bidi="ar-SA"/>
        </w:rPr>
      </w:pPr>
      <w:bookmarkStart w:id="37" w:name="_Toc20311"/>
      <w:bookmarkStart w:id="38" w:name="_Toc28037"/>
      <w:r>
        <w:rPr>
          <w:rFonts w:hint="eastAsia" w:ascii="宋体" w:hAnsi="宋体" w:cs="宋体"/>
          <w:b/>
          <w:color w:val="auto"/>
          <w:sz w:val="24"/>
          <w:szCs w:val="24"/>
          <w:highlight w:val="none"/>
          <w:lang w:val="en-US" w:bidi="ar-SA"/>
        </w:rPr>
        <w:t>2.1报价表</w:t>
      </w:r>
    </w:p>
    <w:p>
      <w:pPr>
        <w:pBdr>
          <w:bottom w:val="single" w:color="auto" w:sz="6" w:space="1"/>
        </w:pBdr>
        <w:snapToGrid w:val="0"/>
        <w:jc w:val="both"/>
        <w:rPr>
          <w:rFonts w:ascii="宋体" w:hAnsi="宋体" w:eastAsia="宋体" w:cs="Times New Roman"/>
          <w:color w:val="auto"/>
          <w:sz w:val="21"/>
          <w:szCs w:val="21"/>
          <w:highlight w:val="none"/>
          <w:lang w:val="en-US" w:eastAsia="zh-CN" w:bidi="ar-SA"/>
        </w:rPr>
      </w:pPr>
    </w:p>
    <w:p>
      <w:pPr>
        <w:pBdr>
          <w:bottom w:val="single" w:color="auto" w:sz="6" w:space="1"/>
        </w:pBdr>
        <w:snapToGrid w:val="0"/>
        <w:jc w:val="both"/>
        <w:rPr>
          <w:rFonts w:hint="eastAsia"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项目</w:t>
      </w:r>
      <w:r>
        <w:rPr>
          <w:rFonts w:hint="eastAsia" w:ascii="宋体" w:hAnsi="宋体" w:eastAsia="宋体" w:cs="Times New Roman"/>
          <w:color w:val="auto"/>
          <w:sz w:val="21"/>
          <w:szCs w:val="21"/>
          <w:highlight w:val="none"/>
          <w:lang w:val="en-US" w:eastAsia="zh-CN" w:bidi="ar-SA"/>
        </w:rPr>
        <w:t>名称：珠海市香洲区第二人民医院</w:t>
      </w:r>
      <w:r>
        <w:rPr>
          <w:rFonts w:hint="eastAsia" w:cs="Times New Roman"/>
          <w:color w:val="auto"/>
          <w:sz w:val="21"/>
          <w:szCs w:val="21"/>
          <w:highlight w:val="none"/>
          <w:lang w:val="en-US" w:eastAsia="zh-CN" w:bidi="ar-SA"/>
        </w:rPr>
        <w:t>手术室净化系统维保和高效过滤器更换服务采购</w:t>
      </w:r>
      <w:r>
        <w:rPr>
          <w:rFonts w:hint="eastAsia" w:ascii="宋体" w:hAnsi="宋体" w:eastAsia="宋体" w:cs="Times New Roman"/>
          <w:color w:val="auto"/>
          <w:sz w:val="21"/>
          <w:szCs w:val="21"/>
          <w:highlight w:val="none"/>
          <w:lang w:val="en-US" w:eastAsia="zh-CN" w:bidi="ar-SA"/>
        </w:rPr>
        <w:t>项目</w:t>
      </w:r>
    </w:p>
    <w:p>
      <w:pPr>
        <w:pBdr>
          <w:bottom w:val="single" w:color="auto" w:sz="6" w:space="1"/>
        </w:pBdr>
        <w:snapToGrid w:val="0"/>
        <w:jc w:val="both"/>
        <w:rPr>
          <w:rFonts w:hint="default"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项目编号：HQCG20</w:t>
      </w:r>
      <w:r>
        <w:rPr>
          <w:rFonts w:hint="eastAsia" w:cs="Times New Roman"/>
          <w:color w:val="auto"/>
          <w:sz w:val="21"/>
          <w:szCs w:val="21"/>
          <w:highlight w:val="none"/>
          <w:u w:val="none"/>
          <w:lang w:val="en-US" w:eastAsia="zh-CN" w:bidi="ar-SA"/>
        </w:rPr>
        <w:t>26003</w:t>
      </w:r>
    </w:p>
    <w:tbl>
      <w:tblPr>
        <w:tblStyle w:val="16"/>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3349"/>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32" w:type="dxa"/>
            <w:tcBorders>
              <w:top w:val="single" w:color="auto" w:sz="4" w:space="0"/>
            </w:tcBorders>
            <w:shd w:val="clear" w:color="auto" w:fill="EEECE1"/>
            <w:noWrap w:val="0"/>
            <w:vAlign w:val="center"/>
          </w:tcPr>
          <w:p>
            <w:pPr>
              <w:snapToGrid w:val="0"/>
              <w:spacing w:line="240" w:lineRule="auto"/>
              <w:ind w:right="-40" w:rightChars="-18"/>
              <w:jc w:val="center"/>
              <w:rPr>
                <w:rFonts w:ascii="宋体" w:hAnsi="宋体" w:cs="宋体"/>
              </w:rPr>
            </w:pPr>
            <w:r>
              <w:rPr>
                <w:rFonts w:hint="eastAsia" w:ascii="宋体" w:hAnsi="宋体" w:cs="宋体"/>
              </w:rPr>
              <w:t>项目名称</w:t>
            </w:r>
          </w:p>
        </w:tc>
        <w:tc>
          <w:tcPr>
            <w:tcW w:w="3349" w:type="dxa"/>
            <w:tcBorders>
              <w:top w:val="single" w:color="auto" w:sz="4" w:space="0"/>
            </w:tcBorders>
            <w:shd w:val="clear" w:color="auto" w:fill="EEECE1"/>
            <w:noWrap w:val="0"/>
            <w:vAlign w:val="center"/>
          </w:tcPr>
          <w:p>
            <w:pPr>
              <w:snapToGrid w:val="0"/>
              <w:spacing w:line="240" w:lineRule="auto"/>
              <w:ind w:right="-40" w:rightChars="-18"/>
              <w:jc w:val="center"/>
              <w:rPr>
                <w:rFonts w:hint="eastAsia" w:ascii="宋体" w:hAnsi="宋体" w:cs="宋体"/>
              </w:rPr>
            </w:pPr>
            <w:r>
              <w:rPr>
                <w:rFonts w:hint="eastAsia" w:ascii="宋体" w:hAnsi="宋体" w:cs="宋体"/>
                <w:lang w:val="en-US" w:eastAsia="zh-CN"/>
              </w:rPr>
              <w:t>投标总价（含税价）</w:t>
            </w:r>
          </w:p>
        </w:tc>
        <w:tc>
          <w:tcPr>
            <w:tcW w:w="1908" w:type="dxa"/>
            <w:tcBorders>
              <w:top w:val="single" w:color="auto" w:sz="4" w:space="0"/>
            </w:tcBorders>
            <w:shd w:val="clear" w:color="auto" w:fill="EEECE1"/>
            <w:noWrap w:val="0"/>
            <w:vAlign w:val="center"/>
          </w:tcPr>
          <w:p>
            <w:pPr>
              <w:snapToGrid w:val="0"/>
              <w:spacing w:line="240" w:lineRule="auto"/>
              <w:ind w:right="-40" w:rightChars="-18"/>
              <w:jc w:val="center"/>
              <w:rPr>
                <w:rFonts w:ascii="宋体" w:hAnsi="宋体" w:cs="宋体"/>
              </w:rPr>
            </w:pPr>
            <w:r>
              <w:rPr>
                <w:rFonts w:hint="eastAsia" w:ascii="宋体" w:hAnsi="宋体" w:cs="宋体"/>
              </w:rPr>
              <w:t>最高</w:t>
            </w:r>
            <w:r>
              <w:rPr>
                <w:rFonts w:hint="eastAsia" w:cs="宋体"/>
                <w:lang w:val="en-US" w:eastAsia="zh-CN"/>
              </w:rPr>
              <w:t>限</w:t>
            </w:r>
            <w:r>
              <w:rPr>
                <w:rFonts w:hint="eastAsia" w:ascii="宋体" w:hAnsi="宋体" w:cs="宋体"/>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3632" w:type="dxa"/>
            <w:noWrap w:val="0"/>
            <w:vAlign w:val="center"/>
          </w:tcPr>
          <w:p>
            <w:pPr>
              <w:spacing w:line="360" w:lineRule="auto"/>
              <w:ind w:left="-99" w:leftChars="-45" w:right="-73" w:rightChars="-33"/>
              <w:jc w:val="center"/>
              <w:rPr>
                <w:rFonts w:hint="default" w:ascii="宋体" w:hAnsi="宋体" w:eastAsia="宋体" w:cs="宋体"/>
                <w:lang w:val="en-US" w:eastAsia="zh-CN"/>
              </w:rPr>
            </w:pPr>
            <w:r>
              <w:rPr>
                <w:rFonts w:hint="eastAsia" w:ascii="宋体" w:hAnsi="宋体" w:cs="宋体"/>
                <w:lang w:val="en-US" w:eastAsia="zh-CN"/>
              </w:rPr>
              <w:t>珠海市香洲区第二人民医院</w:t>
            </w:r>
            <w:r>
              <w:rPr>
                <w:rFonts w:hint="eastAsia" w:cs="宋体"/>
                <w:lang w:val="en-US" w:eastAsia="zh-CN"/>
              </w:rPr>
              <w:t>手术室净化系统维保和高效过滤器更换</w:t>
            </w:r>
            <w:r>
              <w:rPr>
                <w:rFonts w:hint="eastAsia" w:ascii="宋体" w:hAnsi="宋体" w:cs="宋体"/>
                <w:lang w:val="en-US" w:eastAsia="zh-CN"/>
              </w:rPr>
              <w:t>服务</w:t>
            </w:r>
            <w:r>
              <w:rPr>
                <w:rFonts w:hint="eastAsia" w:cs="宋体"/>
                <w:lang w:val="en-US" w:eastAsia="zh-CN"/>
              </w:rPr>
              <w:t>采购项目</w:t>
            </w:r>
          </w:p>
        </w:tc>
        <w:tc>
          <w:tcPr>
            <w:tcW w:w="3349" w:type="dxa"/>
            <w:noWrap w:val="0"/>
            <w:vAlign w:val="center"/>
          </w:tcPr>
          <w:p>
            <w:pPr>
              <w:spacing w:line="360" w:lineRule="auto"/>
              <w:rPr>
                <w:rFonts w:hAnsi="宋体" w:cs="宋体"/>
                <w:u w:val="single"/>
              </w:rPr>
            </w:pPr>
            <w:r>
              <w:rPr>
                <w:rFonts w:hint="eastAsia" w:hAnsi="宋体" w:cs="宋体"/>
                <w:u w:val="single"/>
              </w:rPr>
              <w:t xml:space="preserve">大写：       </w:t>
            </w:r>
            <w:r>
              <w:rPr>
                <w:rFonts w:hint="eastAsia" w:cs="宋体"/>
                <w:u w:val="single"/>
                <w:lang w:val="en-US" w:eastAsia="zh-CN"/>
              </w:rPr>
              <w:t xml:space="preserve">    </w:t>
            </w:r>
            <w:r>
              <w:rPr>
                <w:rFonts w:hint="eastAsia" w:hAnsi="宋体" w:cs="宋体"/>
                <w:u w:val="single"/>
              </w:rPr>
              <w:t xml:space="preserve">    </w:t>
            </w:r>
            <w:r>
              <w:rPr>
                <w:rFonts w:hint="eastAsia" w:ascii="宋体" w:hAnsi="宋体" w:cs="宋体"/>
              </w:rPr>
              <w:t>（元）</w:t>
            </w:r>
          </w:p>
          <w:p>
            <w:pPr>
              <w:spacing w:line="360" w:lineRule="auto"/>
              <w:rPr>
                <w:rFonts w:hint="eastAsia" w:ascii="宋体" w:hAnsi="宋体" w:cs="宋体"/>
              </w:rPr>
            </w:pPr>
            <w:r>
              <w:rPr>
                <w:rFonts w:hint="eastAsia" w:ascii="宋体" w:hAnsi="宋体" w:cs="宋体"/>
                <w:u w:val="single"/>
              </w:rPr>
              <w:t xml:space="preserve">小写：               </w:t>
            </w:r>
            <w:r>
              <w:rPr>
                <w:rFonts w:hint="eastAsia" w:ascii="宋体" w:hAnsi="宋体" w:cs="宋体"/>
              </w:rPr>
              <w:t>（元）</w:t>
            </w:r>
          </w:p>
        </w:tc>
        <w:tc>
          <w:tcPr>
            <w:tcW w:w="1908" w:type="dxa"/>
            <w:noWrap w:val="0"/>
            <w:vAlign w:val="center"/>
          </w:tcPr>
          <w:p>
            <w:pPr>
              <w:spacing w:line="360" w:lineRule="auto"/>
              <w:jc w:val="center"/>
              <w:rPr>
                <w:rFonts w:ascii="宋体" w:hAnsi="宋体" w:cs="宋体"/>
                <w:u w:val="single"/>
              </w:rPr>
            </w:pPr>
            <w:r>
              <w:rPr>
                <w:rFonts w:hint="eastAsia" w:ascii="宋体" w:hAnsi="宋体" w:cs="宋体"/>
                <w:szCs w:val="21"/>
              </w:rPr>
              <w:t>人民币：</w:t>
            </w:r>
            <w:r>
              <w:rPr>
                <w:rFonts w:hint="eastAsia" w:cs="宋体"/>
                <w:szCs w:val="21"/>
                <w:lang w:val="en-US" w:eastAsia="zh-CN"/>
              </w:rPr>
              <w:t>95950.33</w:t>
            </w:r>
            <w:r>
              <w:rPr>
                <w:rFonts w:hint="eastAsia" w:ascii="宋体" w:hAnsi="宋体" w:cs="宋体"/>
                <w:szCs w:val="21"/>
              </w:rPr>
              <w:t>元</w:t>
            </w:r>
          </w:p>
        </w:tc>
      </w:tr>
    </w:tbl>
    <w:p>
      <w:pPr>
        <w:widowControl/>
        <w:autoSpaceDE/>
        <w:autoSpaceDN/>
        <w:spacing w:before="0" w:after="0" w:line="400" w:lineRule="exact"/>
        <w:ind w:left="945" w:right="0" w:hanging="945" w:hangingChars="450"/>
        <w:jc w:val="left"/>
        <w:rPr>
          <w:rFonts w:ascii="宋体" w:hAnsi="宋体" w:cs="宋体"/>
          <w:color w:val="auto"/>
          <w:sz w:val="21"/>
          <w:szCs w:val="20"/>
          <w:highlight w:val="none"/>
          <w:lang w:val="en-US" w:bidi="ar-SA"/>
        </w:rPr>
      </w:pPr>
    </w:p>
    <w:p>
      <w:pPr>
        <w:widowControl/>
        <w:autoSpaceDE/>
        <w:autoSpaceDN/>
        <w:snapToGrid w:val="0"/>
        <w:spacing w:before="0" w:after="0" w:line="240" w:lineRule="auto"/>
        <w:ind w:left="0" w:right="0"/>
        <w:jc w:val="left"/>
        <w:rPr>
          <w:rFonts w:ascii="宋体" w:hAnsi="宋体" w:cs="宋体"/>
          <w:color w:val="auto"/>
          <w:sz w:val="21"/>
          <w:szCs w:val="20"/>
          <w:highlight w:val="none"/>
          <w:lang w:val="en-US" w:bidi="ar-SA"/>
        </w:rPr>
      </w:pP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 xml:space="preserve">投标人授权代表签字或签章：          </w:t>
      </w: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 xml:space="preserve">投标人名称（加盖投标人公章）：                   </w:t>
      </w:r>
    </w:p>
    <w:p>
      <w:pPr>
        <w:widowControl/>
        <w:autoSpaceDE/>
        <w:autoSpaceDN/>
        <w:spacing w:before="0" w:after="120" w:line="360" w:lineRule="auto"/>
        <w:ind w:left="0" w:right="0"/>
        <w:jc w:val="both"/>
        <w:rPr>
          <w:rFonts w:ascii="宋体" w:hAnsi="宋体" w:cs="宋体"/>
          <w:b/>
          <w:bCs/>
          <w:color w:val="auto"/>
          <w:sz w:val="21"/>
          <w:szCs w:val="20"/>
          <w:highlight w:val="none"/>
          <w:lang w:val="en-US" w:bidi="ar-SA"/>
        </w:rPr>
      </w:pPr>
      <w:r>
        <w:rPr>
          <w:rFonts w:hint="eastAsia" w:ascii="宋体" w:hAnsi="宋体" w:cs="宋体"/>
          <w:color w:val="auto"/>
          <w:sz w:val="21"/>
          <w:szCs w:val="20"/>
          <w:highlight w:val="none"/>
          <w:lang w:val="en-US" w:bidi="ar-SA"/>
        </w:rPr>
        <w:t xml:space="preserve">日期：              </w:t>
      </w:r>
    </w:p>
    <w:bookmarkEnd w:id="37"/>
    <w:bookmarkEnd w:id="38"/>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备注：</w:t>
      </w:r>
    </w:p>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1．中文大写金额用汉字，如壹、贰、叁、肆、伍、陆、柒、捌、玖、拾、佰、仟、万、亿、元、角、分、零、整（正）等。</w:t>
      </w:r>
    </w:p>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w:t>
      </w:r>
      <w:r>
        <w:rPr>
          <w:rFonts w:hint="eastAsia" w:ascii="宋体" w:hAnsi="宋体" w:cs="宋体"/>
          <w:bCs/>
          <w:color w:val="auto"/>
          <w:sz w:val="21"/>
          <w:szCs w:val="20"/>
          <w:highlight w:val="none"/>
          <w:lang w:val="en-US" w:bidi="ar-SA"/>
        </w:rPr>
        <w:t>本项目报价采用</w:t>
      </w:r>
      <w:r>
        <w:rPr>
          <w:rFonts w:hint="eastAsia" w:cs="宋体"/>
          <w:bCs/>
          <w:color w:val="auto"/>
          <w:sz w:val="21"/>
          <w:szCs w:val="20"/>
          <w:highlight w:val="none"/>
          <w:lang w:val="en-US" w:eastAsia="zh-CN" w:bidi="ar-SA"/>
        </w:rPr>
        <w:t>总</w:t>
      </w:r>
      <w:r>
        <w:rPr>
          <w:rFonts w:hint="eastAsia" w:ascii="宋体" w:hAnsi="宋体" w:cs="宋体"/>
          <w:bCs/>
          <w:color w:val="auto"/>
          <w:sz w:val="21"/>
          <w:szCs w:val="20"/>
          <w:highlight w:val="none"/>
          <w:lang w:val="en-US" w:bidi="ar-SA"/>
        </w:rPr>
        <w:t>价报价的方式，投标人的投标</w:t>
      </w:r>
      <w:r>
        <w:rPr>
          <w:rFonts w:hint="eastAsia" w:cs="宋体"/>
          <w:bCs/>
          <w:color w:val="auto"/>
          <w:sz w:val="21"/>
          <w:szCs w:val="20"/>
          <w:highlight w:val="none"/>
          <w:lang w:val="en-US" w:eastAsia="zh-CN" w:bidi="ar-SA"/>
        </w:rPr>
        <w:t>总</w:t>
      </w:r>
      <w:r>
        <w:rPr>
          <w:rFonts w:hint="eastAsia" w:ascii="宋体" w:hAnsi="宋体" w:cs="宋体"/>
          <w:bCs/>
          <w:color w:val="auto"/>
          <w:sz w:val="21"/>
          <w:szCs w:val="20"/>
          <w:highlight w:val="none"/>
          <w:lang w:val="en-US" w:bidi="ar-SA"/>
        </w:rPr>
        <w:t>价不能高于最高限价，否则其报价将被认定为无效报价。</w:t>
      </w:r>
      <w:r>
        <w:rPr>
          <w:rFonts w:hint="eastAsia" w:ascii="宋体" w:hAnsi="宋体" w:cs="宋体"/>
          <w:bCs/>
          <w:color w:val="auto"/>
          <w:sz w:val="21"/>
          <w:szCs w:val="21"/>
          <w:highlight w:val="none"/>
          <w:lang w:val="en-US" w:bidi="ar-SA"/>
        </w:rPr>
        <w:t>除</w:t>
      </w:r>
      <w:r>
        <w:rPr>
          <w:rFonts w:hint="eastAsia" w:ascii="宋体" w:hAnsi="宋体" w:cs="宋体"/>
          <w:color w:val="auto"/>
          <w:sz w:val="21"/>
          <w:szCs w:val="21"/>
          <w:highlight w:val="none"/>
          <w:lang w:val="en-US" w:bidi="ar-SA"/>
        </w:rPr>
        <w:t>招标文件另有规定外，投标文件内不得含有任何对本报价进行价格折扣的说明或者资料，否则为无效投标。</w:t>
      </w: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rPr>
          <w:rFonts w:ascii="Times New Roman" w:hAnsi="Times New Roman" w:cs="Times New Roman"/>
          <w:color w:val="auto"/>
          <w:sz w:val="21"/>
          <w:szCs w:val="20"/>
          <w:highlight w:val="none"/>
          <w:lang w:val="en-US" w:bidi="ar-SA"/>
        </w:rPr>
      </w:pPr>
      <w:r>
        <w:rPr>
          <w:rFonts w:ascii="Times New Roman" w:hAnsi="Times New Roman" w:cs="Times New Roman"/>
          <w:color w:val="auto"/>
          <w:sz w:val="21"/>
          <w:szCs w:val="20"/>
          <w:highlight w:val="none"/>
          <w:lang w:val="en-US" w:bidi="ar-SA"/>
        </w:rPr>
        <w:br w:type="page"/>
      </w:r>
    </w:p>
    <w:p>
      <w:pPr>
        <w:widowControl/>
        <w:autoSpaceDE/>
        <w:autoSpaceDN/>
        <w:snapToGrid w:val="0"/>
        <w:spacing w:before="0" w:after="0" w:line="240" w:lineRule="auto"/>
        <w:ind w:left="0" w:right="0"/>
        <w:jc w:val="center"/>
        <w:rPr>
          <w:rFonts w:ascii="宋体" w:hAnsi="宋体" w:cs="宋体"/>
          <w:b/>
          <w:color w:val="auto"/>
          <w:sz w:val="24"/>
          <w:szCs w:val="20"/>
          <w:highlight w:val="none"/>
          <w:lang w:val="en-US" w:bidi="ar-SA"/>
        </w:rPr>
      </w:pPr>
      <w:r>
        <w:rPr>
          <w:rFonts w:hint="eastAsia" w:ascii="宋体" w:hAnsi="宋体" w:cs="宋体"/>
          <w:b/>
          <w:color w:val="auto"/>
          <w:sz w:val="24"/>
          <w:szCs w:val="24"/>
          <w:highlight w:val="none"/>
          <w:lang w:val="en-US" w:bidi="ar-SA"/>
        </w:rPr>
        <w:t>2.</w:t>
      </w:r>
      <w:r>
        <w:rPr>
          <w:rFonts w:hint="eastAsia" w:cs="宋体"/>
          <w:b/>
          <w:color w:val="auto"/>
          <w:sz w:val="24"/>
          <w:szCs w:val="24"/>
          <w:highlight w:val="none"/>
          <w:lang w:val="en-US" w:eastAsia="zh-CN" w:bidi="ar-SA"/>
        </w:rPr>
        <w:t>2分项</w:t>
      </w:r>
      <w:r>
        <w:rPr>
          <w:rFonts w:hint="eastAsia" w:ascii="宋体" w:hAnsi="宋体" w:cs="宋体"/>
          <w:b/>
          <w:color w:val="auto"/>
          <w:sz w:val="24"/>
          <w:szCs w:val="24"/>
          <w:highlight w:val="none"/>
          <w:lang w:val="en-US" w:bidi="ar-SA"/>
        </w:rPr>
        <w:t>报价表</w:t>
      </w:r>
    </w:p>
    <w:p>
      <w:pPr>
        <w:pStyle w:val="9"/>
        <w:rPr>
          <w:lang w:val="en-US"/>
        </w:rPr>
      </w:pPr>
    </w:p>
    <w:tbl>
      <w:tblPr>
        <w:tblStyle w:val="16"/>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3031"/>
        <w:gridCol w:w="1832"/>
        <w:gridCol w:w="544"/>
        <w:gridCol w:w="523"/>
        <w:gridCol w:w="746"/>
        <w:gridCol w:w="139"/>
        <w:gridCol w:w="94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合计价格（元）</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手术室1-2；3；6；5室百级；走廓空调、自动气密门；可视门铃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恒温恒湿组合洁净风柜</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组合式申凌/盛宏</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64" w:lineRule="auto"/>
              <w:ind w:left="0" w:leftChars="0" w:right="0" w:rightChars="0"/>
              <w:jc w:val="center"/>
              <w:textAlignment w:val="auto"/>
              <w:rPr>
                <w:rFonts w:hint="eastAsia" w:ascii="宋体" w:hAnsi="宋体" w:eastAsia="宋体" w:cs="宋体"/>
                <w:i w:val="0"/>
                <w:iCs w:val="0"/>
                <w:color w:val="000000"/>
                <w:sz w:val="22"/>
                <w:szCs w:val="22"/>
                <w:u w:val="none"/>
              </w:rPr>
            </w:pPr>
            <w:r>
              <w:rPr>
                <w:rFonts w:hint="eastAsia"/>
                <w:vertAlign w:val="baseli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空调外主机</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申凌/盛宏</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室内情报控制面板</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一拖多</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主控制电箱（控制器）</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西门子PLC控制主电箱</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医用电动气密门</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自动门</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对讲可视门铃</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一拖二可视对讲</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495*495*46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百级中效过滤袋更换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19</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百级中效过滤袋更换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20</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21</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22</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百级室内回风过滤器更换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不规则1175*285*50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32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23</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送风柜排水盘清洗及疏通</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1-2-3-5-6室、走廓共5台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合计价格（元）</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24</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所有高效过滤器</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37</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5</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一年一次洁净度检测洁净度检测（每室检二点）</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1-2-3-6室 洁净度万级，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5室为百级、其它辅助室及走廓10万级</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激光尘埃仪打印结果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1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大写：                  元整</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（小写：￥              元）</w:t>
            </w:r>
          </w:p>
        </w:tc>
      </w:tr>
    </w:tbl>
    <w:p>
      <w:pPr>
        <w:rPr>
          <w:lang w:val="en-US"/>
        </w:rPr>
      </w:pPr>
    </w:p>
    <w:p>
      <w:pPr>
        <w:pStyle w:val="2"/>
        <w:rPr>
          <w:lang w:val="en-US"/>
        </w:rPr>
      </w:pP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 xml:space="preserve">投标人名称（加盖投标人公章）：                   </w:t>
      </w:r>
    </w:p>
    <w:p>
      <w:pPr>
        <w:widowControl/>
        <w:autoSpaceDE/>
        <w:autoSpaceDN/>
        <w:spacing w:before="0" w:after="120" w:line="360" w:lineRule="auto"/>
        <w:ind w:left="0" w:right="0"/>
        <w:jc w:val="both"/>
        <w:rPr>
          <w:rFonts w:ascii="宋体" w:hAnsi="宋体" w:cs="宋体"/>
          <w:b/>
          <w:bCs/>
          <w:color w:val="auto"/>
          <w:sz w:val="21"/>
          <w:szCs w:val="20"/>
          <w:highlight w:val="none"/>
          <w:lang w:val="en-US" w:bidi="ar-SA"/>
        </w:rPr>
      </w:pPr>
      <w:r>
        <w:rPr>
          <w:rFonts w:hint="eastAsia" w:ascii="宋体" w:hAnsi="宋体" w:cs="宋体"/>
          <w:color w:val="auto"/>
          <w:sz w:val="21"/>
          <w:szCs w:val="20"/>
          <w:highlight w:val="none"/>
          <w:lang w:val="en-US" w:bidi="ar-SA"/>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备注：中文大写金额用汉字，如壹、贰、叁、肆、伍、陆、柒、捌、玖、拾、佰、仟、万、亿、元、角、分、零、整（正）等。</w:t>
      </w:r>
    </w:p>
    <w:p>
      <w:pPr>
        <w:pStyle w:val="2"/>
        <w:rPr>
          <w:lang w:val="en-US"/>
        </w:rPr>
      </w:pPr>
    </w:p>
    <w:p>
      <w:pPr>
        <w:pStyle w:val="2"/>
        <w:rPr>
          <w:lang w:val="en-US"/>
        </w:rPr>
      </w:pPr>
    </w:p>
    <w:p>
      <w:pPr>
        <w:rPr>
          <w:lang w:val="en-US"/>
        </w:rPr>
      </w:pPr>
      <w:r>
        <w:rPr>
          <w:lang w:val="en-US"/>
        </w:rPr>
        <w:br w:type="page"/>
      </w:r>
    </w:p>
    <w:p>
      <w:pPr>
        <w:widowControl/>
        <w:autoSpaceDE/>
        <w:autoSpaceDN/>
        <w:snapToGrid w:val="0"/>
        <w:spacing w:before="0" w:after="0" w:line="240" w:lineRule="auto"/>
        <w:ind w:left="0" w:right="0"/>
        <w:jc w:val="center"/>
        <w:rPr>
          <w:rFonts w:ascii="宋体" w:hAnsi="宋体" w:cs="宋体"/>
          <w:b/>
          <w:color w:val="auto"/>
          <w:sz w:val="24"/>
          <w:szCs w:val="20"/>
          <w:highlight w:val="none"/>
          <w:lang w:val="en-US" w:bidi="ar-SA"/>
        </w:rPr>
      </w:pPr>
      <w:r>
        <w:rPr>
          <w:rFonts w:hint="eastAsia" w:ascii="宋体" w:hAnsi="宋体" w:cs="宋体"/>
          <w:b/>
          <w:color w:val="auto"/>
          <w:sz w:val="24"/>
          <w:szCs w:val="24"/>
          <w:highlight w:val="none"/>
          <w:lang w:val="en-US" w:bidi="ar-SA"/>
        </w:rPr>
        <w:t>2.</w:t>
      </w:r>
      <w:r>
        <w:rPr>
          <w:rFonts w:hint="eastAsia" w:cs="宋体"/>
          <w:b/>
          <w:color w:val="auto"/>
          <w:sz w:val="24"/>
          <w:szCs w:val="24"/>
          <w:highlight w:val="none"/>
          <w:lang w:val="en-US" w:eastAsia="zh-CN" w:bidi="ar-SA"/>
        </w:rPr>
        <w:t>3分项</w:t>
      </w:r>
      <w:r>
        <w:rPr>
          <w:rFonts w:hint="eastAsia" w:ascii="宋体" w:hAnsi="宋体" w:cs="宋体"/>
          <w:b/>
          <w:color w:val="auto"/>
          <w:sz w:val="24"/>
          <w:szCs w:val="24"/>
          <w:highlight w:val="none"/>
          <w:lang w:val="en-US" w:bidi="ar-SA"/>
        </w:rPr>
        <w:t>报价表</w:t>
      </w:r>
    </w:p>
    <w:p>
      <w:pPr>
        <w:pStyle w:val="9"/>
        <w:rPr>
          <w:lang w:val="en-US"/>
        </w:rPr>
      </w:pPr>
    </w:p>
    <w:tbl>
      <w:tblPr>
        <w:tblStyle w:val="16"/>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3031"/>
        <w:gridCol w:w="1832"/>
        <w:gridCol w:w="544"/>
        <w:gridCol w:w="523"/>
        <w:gridCol w:w="746"/>
        <w:gridCol w:w="139"/>
        <w:gridCol w:w="94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合计价格（元）</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手术室1-2；3；6；5室百级；走廓空调、自动气密门；可视门铃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恒温恒湿组合洁净风柜</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组合式申凌/盛宏</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64" w:lineRule="auto"/>
              <w:ind w:left="0" w:leftChars="0" w:right="0" w:rightChars="0"/>
              <w:jc w:val="center"/>
              <w:textAlignment w:val="auto"/>
              <w:rPr>
                <w:rFonts w:hint="eastAsia" w:ascii="宋体" w:hAnsi="宋体" w:eastAsia="宋体" w:cs="宋体"/>
                <w:i w:val="0"/>
                <w:iCs w:val="0"/>
                <w:color w:val="000000"/>
                <w:sz w:val="22"/>
                <w:szCs w:val="22"/>
                <w:u w:val="none"/>
              </w:rPr>
            </w:pPr>
            <w:r>
              <w:rPr>
                <w:rFonts w:hint="eastAsia"/>
                <w:vertAlign w:val="baseli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空调外主机</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申凌/盛宏</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室内情报控制面板</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一拖多</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主控制电箱（控制器）</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西门子PLC控制主电箱</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医用电动气密门</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自动门</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对讲可视门铃</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一拖二可视对讲</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495*495*46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百级初效过滤网更换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295*495*46</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百级中效过滤袋更换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19</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百级中效过滤袋更换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20</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21</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295*595*500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22</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百级室内回风过滤器更换</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不规则1175*285*50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32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23</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送风柜排水盘清洗及疏通</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1-2-3-5-6室、走廓共5台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次</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合计价格（元）</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24</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所有高效过滤器</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cs="宋体"/>
                <w:i w:val="0"/>
                <w:iCs w:val="0"/>
                <w:color w:val="auto"/>
                <w:kern w:val="0"/>
                <w:sz w:val="21"/>
                <w:szCs w:val="21"/>
                <w:u w:val="none"/>
                <w:lang w:val="en-US" w:eastAsia="zh-CN" w:bidi="ar"/>
              </w:rPr>
              <w:t>37</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5</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一年一次洁净度检测洁净度检测（每室检二点）</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1-2-3-6室 洁净度万级，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5室为百级、其它辅助室及走廓10万级</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激光尘埃仪打印结果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1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大写：                  元整</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（小写：￥              元）</w:t>
            </w:r>
          </w:p>
        </w:tc>
      </w:tr>
    </w:tbl>
    <w:p>
      <w:pPr>
        <w:rPr>
          <w:lang w:val="en-US"/>
        </w:rPr>
      </w:pPr>
    </w:p>
    <w:p>
      <w:pPr>
        <w:rPr>
          <w:lang w:val="en-US"/>
        </w:rPr>
      </w:pPr>
    </w:p>
    <w:p>
      <w:pPr>
        <w:rPr>
          <w:rFonts w:hint="eastAsia"/>
          <w:lang w:val="en-US"/>
        </w:rPr>
      </w:pPr>
      <w:r>
        <w:rPr>
          <w:rFonts w:hint="eastAsia"/>
          <w:lang w:val="en-US"/>
        </w:rPr>
        <w:t xml:space="preserve">投标人名称（加盖投标人公章）：                   </w:t>
      </w:r>
    </w:p>
    <w:p>
      <w:pPr>
        <w:rPr>
          <w:rFonts w:hint="eastAsia"/>
          <w:lang w:val="en-US"/>
        </w:rPr>
      </w:pPr>
      <w:r>
        <w:rPr>
          <w:rFonts w:hint="eastAsia"/>
          <w:lang w:val="en-US"/>
        </w:rPr>
        <w:t xml:space="preserve">日期：              </w:t>
      </w:r>
    </w:p>
    <w:p>
      <w:pPr>
        <w:rPr>
          <w:lang w:val="en-US"/>
        </w:rPr>
      </w:pPr>
      <w:r>
        <w:rPr>
          <w:rFonts w:hint="eastAsia"/>
          <w:lang w:val="en-US"/>
        </w:rPr>
        <w:t>备注：中文大写金额用汉字，如壹、贰、叁、肆、伍、陆、柒、捌、玖、拾、佰、仟、万、亿、元、角、分、零、整（正）等。</w:t>
      </w:r>
    </w:p>
    <w:p>
      <w:pPr>
        <w:rPr>
          <w:lang w:val="en-US"/>
        </w:rPr>
      </w:pPr>
      <w:r>
        <w:rPr>
          <w:lang w:val="en-US"/>
        </w:rPr>
        <w:br w:type="page"/>
      </w:r>
    </w:p>
    <w:bookmarkEnd w:id="17"/>
    <w:bookmarkEnd w:id="18"/>
    <w:bookmarkEnd w:id="19"/>
    <w:bookmarkEnd w:id="20"/>
    <w:bookmarkEnd w:id="21"/>
    <w:bookmarkEnd w:id="22"/>
    <w:bookmarkEnd w:id="23"/>
    <w:bookmarkEnd w:id="24"/>
    <w:bookmarkEnd w:id="25"/>
    <w:bookmarkEnd w:id="26"/>
    <w:bookmarkEnd w:id="27"/>
    <w:p>
      <w:pPr>
        <w:widowControl w:val="0"/>
        <w:autoSpaceDE/>
        <w:autoSpaceDN/>
        <w:spacing w:before="0" w:after="0" w:line="360" w:lineRule="auto"/>
        <w:ind w:left="0" w:right="0"/>
        <w:jc w:val="both"/>
        <w:rPr>
          <w:rFonts w:hint="eastAsia" w:ascii="宋体" w:hAnsi="宋体" w:eastAsia="宋体" w:cs="Times New Roman"/>
          <w:b/>
          <w:sz w:val="21"/>
          <w:szCs w:val="21"/>
          <w:lang w:val="en-US" w:bidi="ar-SA"/>
        </w:rPr>
      </w:pPr>
      <w:r>
        <w:rPr>
          <w:rFonts w:hint="eastAsia" w:ascii="Times New Roman" w:cs="Times New Roman"/>
          <w:b/>
          <w:bCs/>
          <w:kern w:val="2"/>
          <w:sz w:val="24"/>
          <w:szCs w:val="24"/>
          <w:lang w:val="en-US" w:eastAsia="zh-CN" w:bidi="ar-SA"/>
        </w:rPr>
        <w:t>二</w:t>
      </w:r>
      <w:r>
        <w:rPr>
          <w:rFonts w:hint="eastAsia" w:ascii="Times New Roman" w:hAnsi="宋体" w:eastAsia="宋体" w:cs="Times New Roman"/>
          <w:b/>
          <w:bCs/>
          <w:kern w:val="2"/>
          <w:sz w:val="24"/>
          <w:szCs w:val="24"/>
          <w:lang w:val="en-US" w:eastAsia="zh-CN" w:bidi="ar-SA"/>
        </w:rPr>
        <w:t>、</w:t>
      </w:r>
      <w:r>
        <w:rPr>
          <w:rFonts w:hint="eastAsia" w:ascii="Times New Roman" w:hAnsi="宋体" w:eastAsia="宋体" w:cs="Times New Roman"/>
          <w:b/>
          <w:bCs/>
          <w:kern w:val="2"/>
          <w:sz w:val="24"/>
          <w:szCs w:val="24"/>
          <w:lang w:val="en-US" w:bidi="ar-SA"/>
        </w:rPr>
        <w:t>法定代表人（或者负责人）资格证明书及授权委托书</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说明：投标人应提供法定代表人（或者负责人）身份证明复印件。</w:t>
      </w:r>
    </w:p>
    <w:tbl>
      <w:tblPr>
        <w:tblStyle w:val="16"/>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的投标活动。代理人对该项目所签署的一切文件和处理与之有关的一切事务，我均予以承认。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2.投标代表为法定代表人（或者负责人），则本委托书不需提供。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3.投标代表为法定代表人（或者负责人）授权委托人的，须提供本授权委托书及被授权人身份证明复印件，否则作无效投标处理。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说明：投标人应提供被授权人身份证明复印件。</w:t>
      </w:r>
    </w:p>
    <w:tbl>
      <w:tblPr>
        <w:tblStyle w:val="16"/>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widowControl/>
        <w:autoSpaceDE/>
        <w:autoSpaceDN/>
        <w:spacing w:before="0" w:after="0" w:line="300" w:lineRule="auto"/>
        <w:ind w:left="0" w:right="0"/>
        <w:jc w:val="left"/>
        <w:rPr>
          <w:rFonts w:hint="eastAsia" w:ascii="宋体" w:hAnsi="宋体" w:eastAsia="宋体" w:cs="宋体"/>
          <w:b/>
          <w:sz w:val="24"/>
          <w:szCs w:val="24"/>
          <w:lang w:val="en-US" w:bidi="ar-SA"/>
        </w:rPr>
      </w:pPr>
      <w:r>
        <w:rPr>
          <w:rFonts w:ascii="宋体" w:hAnsi="宋体" w:eastAsia="宋体" w:cs="Times New Roman"/>
          <w:kern w:val="2"/>
          <w:sz w:val="21"/>
          <w:szCs w:val="21"/>
          <w:lang w:val="en-US" w:bidi="ar-SA"/>
        </w:rPr>
        <w:br w:type="page"/>
      </w:r>
      <w:r>
        <w:rPr>
          <w:rFonts w:hint="eastAsia" w:cs="宋体"/>
          <w:b/>
          <w:sz w:val="24"/>
          <w:szCs w:val="24"/>
          <w:lang w:val="en-US" w:eastAsia="zh-CN" w:bidi="ar-SA"/>
        </w:rPr>
        <w:t>三</w:t>
      </w:r>
      <w:r>
        <w:rPr>
          <w:rFonts w:hint="eastAsia" w:ascii="宋体" w:hAnsi="宋体" w:eastAsia="宋体" w:cs="宋体"/>
          <w:b/>
          <w:sz w:val="24"/>
          <w:szCs w:val="24"/>
          <w:lang w:val="en-US" w:eastAsia="zh-CN" w:bidi="ar-SA"/>
        </w:rPr>
        <w:t>、</w:t>
      </w:r>
      <w:r>
        <w:rPr>
          <w:rFonts w:hint="eastAsia" w:ascii="宋体" w:hAnsi="宋体" w:eastAsia="宋体" w:cs="宋体"/>
          <w:b/>
          <w:sz w:val="24"/>
          <w:szCs w:val="24"/>
          <w:lang w:val="en-US" w:bidi="ar-SA"/>
        </w:rPr>
        <w:t>资格声明函</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t>投标人资格声明函</w:t>
      </w:r>
    </w:p>
    <w:p>
      <w:pPr>
        <w:widowControl/>
        <w:autoSpaceDE/>
        <w:autoSpaceDN/>
        <w:spacing w:before="0" w:after="0" w:line="360" w:lineRule="auto"/>
        <w:ind w:left="0" w:right="0"/>
        <w:jc w:val="left"/>
        <w:rPr>
          <w:rFonts w:ascii="宋体" w:hAnsi="宋体" w:eastAsia="宋体" w:cs="宋体"/>
          <w:sz w:val="24"/>
          <w:szCs w:val="24"/>
          <w:lang w:val="en-US" w:bidi="ar-SA"/>
        </w:rPr>
      </w:pPr>
    </w:p>
    <w:p>
      <w:pPr>
        <w:widowControl/>
        <w:autoSpaceDE/>
        <w:autoSpaceDN/>
        <w:spacing w:before="0" w:after="0" w:line="240" w:lineRule="auto"/>
        <w:ind w:left="0" w:right="0"/>
        <w:jc w:val="left"/>
        <w:rPr>
          <w:rFonts w:ascii="宋体" w:hAnsi="宋体" w:eastAsia="宋体" w:cs="宋体"/>
          <w:sz w:val="21"/>
          <w:szCs w:val="20"/>
          <w:lang w:val="en-US" w:bidi="ar-SA"/>
        </w:rPr>
      </w:pPr>
      <w:r>
        <w:rPr>
          <w:rFonts w:hint="eastAsia" w:ascii="宋体" w:hAnsi="宋体" w:eastAsia="宋体" w:cs="宋体"/>
          <w:sz w:val="21"/>
          <w:szCs w:val="20"/>
          <w:lang w:val="en-US" w:bidi="ar-SA"/>
        </w:rPr>
        <w:t>致：</w:t>
      </w:r>
      <w:r>
        <w:rPr>
          <w:rFonts w:hint="eastAsia" w:ascii="宋体" w:hAnsi="宋体" w:eastAsia="宋体" w:cs="宋体"/>
          <w:sz w:val="21"/>
          <w:szCs w:val="20"/>
          <w:u w:val="single"/>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关于贵方项目名称：</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0"/>
          <w:lang w:val="en-US" w:bidi="ar-SA"/>
        </w:rPr>
        <w:t>公告，本签字或签章人愿意参加磋商响应，提供响应文件中规定的服务，并证明提交的下列文件和说明是准确的和真实的。</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2.我方是依法注册的法人，在法律上、财务上和运作上完全独立于</w:t>
      </w:r>
      <w:r>
        <w:rPr>
          <w:rFonts w:hint="eastAsia" w:ascii="宋体" w:hAnsi="宋体" w:eastAsia="宋体" w:cs="宋体"/>
          <w:sz w:val="21"/>
          <w:szCs w:val="20"/>
          <w:u w:val="single"/>
          <w:lang w:val="en-US" w:bidi="ar-SA"/>
        </w:rPr>
        <w:t>（采购人名称）</w:t>
      </w:r>
      <w:r>
        <w:rPr>
          <w:rFonts w:hint="eastAsia" w:ascii="宋体" w:hAnsi="宋体" w:eastAsia="宋体" w:cs="宋体"/>
          <w:sz w:val="21"/>
          <w:szCs w:val="20"/>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3.满足《中华人民共和国政府釆购法》第二十二条规定。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3.1具有独立承担民事责任的能力。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3.2具有良好的商业信誉和健全的财务会计制度。</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3.3具有依法缴纳税收和社会保障资金的良好记录。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3.4具有履行合同所必需的设备和专业技术能力。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3.5参加政府采购活动前三年内，在经营活动中没有重大违法记录。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3.6法律、行政法规规定的其他条件。</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4.单位负责人为同一人或者存在直接控股、管理关系的不同投标人，不得参加同一合同项下的政府采购活动。</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5.为采购项目提供整体设计、规范编制或者项目管理、监理、检测等服务的投标人，不得再参加该采购项目同一合同项下的其他采购活动。</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附资格文件如下：</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1）提供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（2）提供有效的法定代表人/负责人/自然人资格证明书及授权委托书；</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（3）提供《中小企业声明函》或属于监狱企业的证明材料或《残疾人福利性单位声明函》；（如“申请人的资格要求”有要求时必须提供）</w:t>
      </w:r>
    </w:p>
    <w:p>
      <w:pPr>
        <w:widowControl/>
        <w:tabs>
          <w:tab w:val="left" w:pos="960"/>
        </w:tabs>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（4）投标人认为有必要提供的相关证明文件（如有）。</w:t>
      </w:r>
    </w:p>
    <w:p>
      <w:pPr>
        <w:widowControl/>
        <w:autoSpaceDE/>
        <w:autoSpaceDN/>
        <w:spacing w:before="0" w:after="0" w:line="240" w:lineRule="auto"/>
        <w:ind w:left="0" w:right="0"/>
        <w:jc w:val="left"/>
        <w:rPr>
          <w:rFonts w:ascii="Times New Roman" w:hAnsi="Times New Roman" w:eastAsia="宋体" w:cs="Times New Roman"/>
          <w:sz w:val="21"/>
          <w:szCs w:val="20"/>
          <w:lang w:val="en-US" w:bidi="ar-SA"/>
        </w:rPr>
      </w:pP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投标人授权代表签字或签章：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投标人名称（加盖投标人公章）：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日期：         </w:t>
      </w:r>
    </w:p>
    <w:p>
      <w:pPr>
        <w:widowControl/>
        <w:autoSpaceDE/>
        <w:autoSpaceDN/>
        <w:spacing w:before="0" w:after="0" w:line="240" w:lineRule="auto"/>
        <w:ind w:left="0" w:right="0"/>
        <w:jc w:val="left"/>
        <w:rPr>
          <w:rFonts w:hint="eastAsia" w:ascii="宋体" w:hAnsi="宋体" w:eastAsia="宋体" w:cs="宋体"/>
          <w:b/>
          <w:sz w:val="24"/>
          <w:szCs w:val="24"/>
          <w:lang w:val="en-US" w:bidi="ar-SA"/>
        </w:rPr>
      </w:pPr>
      <w:r>
        <w:rPr>
          <w:rFonts w:ascii="Times New Roman" w:hAnsi="Times New Roman" w:eastAsia="宋体" w:cs="Times New Roman"/>
          <w:sz w:val="21"/>
          <w:szCs w:val="20"/>
          <w:lang w:val="zh-CN" w:bidi="ar-SA"/>
        </w:rPr>
        <w:br w:type="page"/>
      </w:r>
      <w:bookmarkStart w:id="39" w:name="_Toc3072"/>
      <w:r>
        <w:rPr>
          <w:rFonts w:hint="eastAsia" w:cs="宋体"/>
          <w:b/>
          <w:sz w:val="24"/>
          <w:szCs w:val="24"/>
          <w:lang w:val="en-US" w:eastAsia="zh-CN" w:bidi="ar-SA"/>
        </w:rPr>
        <w:t>四、</w:t>
      </w:r>
      <w:r>
        <w:rPr>
          <w:rFonts w:hint="eastAsia" w:ascii="宋体" w:hAnsi="宋体" w:eastAsia="宋体" w:cs="宋体"/>
          <w:b/>
          <w:sz w:val="24"/>
          <w:szCs w:val="24"/>
          <w:lang w:val="en-US" w:bidi="ar-SA"/>
        </w:rPr>
        <w:t>投标承诺书</w:t>
      </w:r>
      <w:bookmarkEnd w:id="39"/>
    </w:p>
    <w:p>
      <w:pPr>
        <w:pStyle w:val="13"/>
        <w:widowControl/>
        <w:autoSpaceDE/>
        <w:autoSpaceDN/>
        <w:spacing w:before="0" w:after="0"/>
        <w:ind w:left="0" w:right="0"/>
        <w:rPr>
          <w:rFonts w:hint="eastAsia" w:hAnsi="宋体" w:eastAsia="宋体" w:cs="宋体"/>
        </w:rPr>
      </w:pPr>
      <w:r>
        <w:rPr>
          <w:rFonts w:hint="eastAsia" w:hAnsi="宋体" w:eastAsia="宋体" w:cs="宋体"/>
        </w:rPr>
        <w:t>投标承诺书</w:t>
      </w:r>
    </w:p>
    <w:p>
      <w:pPr>
        <w:widowControl/>
        <w:tabs>
          <w:tab w:val="left" w:pos="3960"/>
        </w:tabs>
        <w:autoSpaceDE/>
        <w:autoSpaceDN/>
        <w:spacing w:before="0" w:after="0" w:line="480" w:lineRule="exact"/>
        <w:ind w:left="0" w:right="0"/>
        <w:jc w:val="center"/>
        <w:rPr>
          <w:rFonts w:hint="eastAsia" w:ascii="宋体" w:hAnsi="宋体" w:eastAsia="宋体" w:cs="宋体"/>
          <w:sz w:val="24"/>
          <w:szCs w:val="24"/>
          <w:lang w:val="en-US" w:bidi="ar-SA"/>
        </w:rPr>
      </w:pPr>
    </w:p>
    <w:p>
      <w:pPr>
        <w:widowControl/>
        <w:autoSpaceDE/>
        <w:autoSpaceDN/>
        <w:spacing w:before="0" w:after="120" w:afterLines="50" w:line="360" w:lineRule="auto"/>
        <w:ind w:left="0" w:right="0"/>
        <w:jc w:val="left"/>
        <w:rPr>
          <w:rFonts w:hint="eastAsia" w:ascii="宋体" w:hAnsi="宋体" w:eastAsia="宋体" w:cs="宋体"/>
          <w:b/>
          <w:sz w:val="21"/>
          <w:szCs w:val="21"/>
          <w:u w:val="single"/>
          <w:lang w:val="en-US" w:bidi="ar-SA"/>
        </w:rPr>
      </w:pPr>
      <w:r>
        <w:rPr>
          <w:rFonts w:hint="eastAsia" w:ascii="宋体" w:hAnsi="宋体" w:eastAsia="宋体" w:cs="宋体"/>
          <w:b/>
          <w:sz w:val="21"/>
          <w:szCs w:val="21"/>
          <w:u w:val="single"/>
          <w:lang w:val="en-US" w:bidi="ar-SA"/>
        </w:rPr>
        <w:t>珠海市香洲区第二人民医院：</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本投标人已详细阅读了</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1"/>
          <w:lang w:val="en-US" w:bidi="ar-SA"/>
        </w:rPr>
        <w:t>招标文件，自愿参加上述项目投标，现就有关事项向采购人郑重承诺如下：</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1.本投标人自愿在</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规定的时限内按照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w:t>
      </w:r>
      <w:r>
        <w:rPr>
          <w:rFonts w:hint="eastAsia" w:ascii="Times New Roman" w:hAnsi="宋体" w:eastAsia="宋体" w:cs="宋体"/>
          <w:sz w:val="21"/>
          <w:szCs w:val="21"/>
          <w:lang w:val="en-US" w:bidi="ar-SA"/>
        </w:rPr>
        <w:t>用户需求书</w:t>
      </w:r>
      <w:r>
        <w:rPr>
          <w:rFonts w:hint="eastAsia" w:ascii="宋体" w:hAnsi="宋体" w:eastAsia="宋体" w:cs="宋体"/>
          <w:sz w:val="21"/>
          <w:szCs w:val="21"/>
          <w:lang w:val="en-US" w:bidi="ar-SA"/>
        </w:rPr>
        <w:t>、技术规范等要求完成采购任务，按时完成并验收合格。服务质量按照投标文件的承诺并满足</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2.保证投标文件内容无任何虚假。若评标过程中查出有虚假，同意作无效投标文件处理并被没收投标担保，若中标之后查出有虚假，同意废除中标资格并被没收投标担保。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3</w:t>
      </w:r>
      <w:r>
        <w:rPr>
          <w:rFonts w:hint="eastAsia" w:ascii="宋体" w:hAnsi="宋体" w:eastAsia="宋体" w:cs="宋体"/>
          <w:sz w:val="21"/>
          <w:szCs w:val="21"/>
          <w:lang w:val="en-US" w:bidi="ar-SA"/>
        </w:rPr>
        <w:t>.保证投标文件不存在低于成本的恶意报价行为。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4</w:t>
      </w:r>
      <w:r>
        <w:rPr>
          <w:rFonts w:hint="eastAsia" w:ascii="宋体" w:hAnsi="宋体" w:eastAsia="宋体" w:cs="宋体"/>
          <w:sz w:val="21"/>
          <w:szCs w:val="21"/>
          <w:lang w:val="en-US" w:bidi="ar-SA"/>
        </w:rPr>
        <w:t>.保证按照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及中标通知书规定提交履约保证金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并商签采购合同，对</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第五部分“合同文本”中的条款项下的内容完全响应，不作任何的偏离。否则，同意接受采购人违约处罚并被没收投标担保。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5</w:t>
      </w:r>
      <w:r>
        <w:rPr>
          <w:rFonts w:hint="eastAsia" w:ascii="宋体" w:hAnsi="宋体" w:eastAsia="宋体" w:cs="宋体"/>
          <w:sz w:val="21"/>
          <w:szCs w:val="21"/>
          <w:lang w:val="en-US" w:bidi="ar-SA"/>
        </w:rPr>
        <w:t>.保证按照采购合同约定完成采购合同范围内的全部内容。否则，同意接受采购人对投标人违约处理并被没收履约保证金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6</w:t>
      </w:r>
      <w:r>
        <w:rPr>
          <w:rFonts w:hint="eastAsia" w:ascii="宋体" w:hAnsi="宋体" w:eastAsia="宋体" w:cs="宋体"/>
          <w:sz w:val="21"/>
          <w:szCs w:val="21"/>
          <w:lang w:val="en-US" w:bidi="ar-SA"/>
        </w:rPr>
        <w:t>.保证中标之后不转包，若分包将征得采购人同意并遵守相关法律法规。</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7</w:t>
      </w:r>
      <w:r>
        <w:rPr>
          <w:rFonts w:hint="eastAsia" w:ascii="宋体" w:hAnsi="宋体" w:eastAsia="宋体" w:cs="宋体"/>
          <w:sz w:val="21"/>
          <w:szCs w:val="21"/>
          <w:lang w:val="en-US" w:bidi="ar-SA"/>
        </w:rPr>
        <w:t>.保证中标之后按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要求向招标项目配置承诺的资源，否则，同意接受违约处罚并被没收履约担保。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8</w:t>
      </w:r>
      <w:r>
        <w:rPr>
          <w:rFonts w:hint="eastAsia" w:ascii="宋体" w:hAnsi="宋体" w:eastAsia="宋体" w:cs="宋体"/>
          <w:sz w:val="21"/>
          <w:szCs w:val="21"/>
          <w:lang w:val="en-US" w:bidi="ar-SA"/>
        </w:rPr>
        <w:t>.保证中标之后密切配合采购人开展工作，接受采购人的监督管理。</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9</w:t>
      </w:r>
      <w:r>
        <w:rPr>
          <w:rFonts w:hint="eastAsia" w:ascii="宋体" w:hAnsi="宋体" w:eastAsia="宋体" w:cs="宋体"/>
          <w:sz w:val="21"/>
          <w:szCs w:val="21"/>
          <w:lang w:val="en-US" w:bidi="ar-SA"/>
        </w:rPr>
        <w:t>.保证按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及采购合同约定的原则处理采购调整事宜，不发生签署采购合同之后恶意索赔的行为。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本投标人在规定的投标有效期限内，将受</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的约束并履行投标文件的承诺。</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投标人代表签字或者签章：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投标人名称（加盖公章）：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年</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月</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日</w:t>
      </w:r>
    </w:p>
    <w:p>
      <w:pPr>
        <w:widowControl w:val="0"/>
        <w:ind w:left="0" w:leftChars="0" w:firstLine="0" w:firstLineChars="0"/>
        <w:jc w:val="both"/>
        <w:rPr>
          <w:rFonts w:hint="eastAsia" w:ascii="宋体" w:hAnsi="宋体" w:cs="宋体"/>
          <w:b/>
          <w:bCs/>
          <w:sz w:val="24"/>
          <w:szCs w:val="24"/>
        </w:rPr>
      </w:pPr>
      <w:r>
        <w:rPr>
          <w:rFonts w:hint="eastAsia" w:ascii="Times New Roman" w:hAnsi="Times New Roman" w:eastAsia="宋体" w:cs="Times New Roman"/>
          <w:sz w:val="16"/>
          <w:szCs w:val="16"/>
          <w:lang w:val="en-US" w:eastAsia="zh-CN" w:bidi="ar-SA"/>
        </w:rPr>
        <w:br w:type="page"/>
      </w:r>
    </w:p>
    <w:p>
      <w:pPr>
        <w:pStyle w:val="25"/>
        <w:snapToGrid w:val="0"/>
        <w:spacing w:after="240" w:afterLines="100" w:line="360" w:lineRule="auto"/>
        <w:jc w:val="both"/>
        <w:rPr>
          <w:rFonts w:hint="eastAsia" w:ascii="宋体" w:hAnsi="宋体" w:eastAsia="宋体" w:cs="宋体"/>
          <w:b/>
          <w:sz w:val="24"/>
          <w:szCs w:val="24"/>
          <w:lang w:val="en-US" w:eastAsia="zh-CN" w:bidi="ar-SA"/>
        </w:rPr>
      </w:pPr>
      <w:bookmarkStart w:id="40" w:name="_Toc3313"/>
      <w:r>
        <w:rPr>
          <w:rFonts w:hint="eastAsia" w:cs="宋体"/>
          <w:b/>
          <w:sz w:val="24"/>
          <w:szCs w:val="24"/>
          <w:lang w:val="en-US" w:eastAsia="zh-CN" w:bidi="ar-SA"/>
        </w:rPr>
        <w:t>五</w:t>
      </w:r>
      <w:r>
        <w:rPr>
          <w:rFonts w:hint="eastAsia" w:ascii="宋体" w:hAnsi="宋体" w:eastAsia="宋体" w:cs="宋体"/>
          <w:b/>
          <w:sz w:val="24"/>
          <w:szCs w:val="24"/>
          <w:lang w:val="en-US" w:eastAsia="zh-CN" w:bidi="ar-SA"/>
        </w:rPr>
        <w:t>、</w:t>
      </w:r>
      <w:r>
        <w:rPr>
          <w:rFonts w:hint="eastAsia" w:ascii="宋体" w:hAnsi="宋体" w:eastAsia="宋体" w:cs="宋体"/>
          <w:sz w:val="24"/>
          <w:szCs w:val="24"/>
        </w:rPr>
        <w:t>中小企业声明函</w:t>
      </w:r>
      <w:r>
        <w:rPr>
          <w:rFonts w:hint="eastAsia" w:ascii="宋体" w:hAnsi="宋体" w:eastAsia="宋体" w:cs="宋体"/>
          <w:b/>
          <w:sz w:val="24"/>
          <w:szCs w:val="24"/>
          <w:lang w:val="en-US" w:eastAsia="zh-CN" w:bidi="ar-SA"/>
        </w:rPr>
        <w:t>（以下格式文件由投标人根据需要选用）</w:t>
      </w:r>
      <w:bookmarkEnd w:id="40"/>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中小企业声明函（货物）</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采购活动，提供的货物全部由符合政策要求的中小企业制造。相关企业（含联合体中的中小企业、签订分包意向协议的中小企业）的具体情况如下：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中小企业声明函（承建本项目工程为中小企业或者承接本项目服务为中小企业时提交本函，所属行业应符合磋商文件中明确的本项目所属行业）</w:t>
      </w:r>
    </w:p>
    <w:p>
      <w:pPr>
        <w:rPr>
          <w:rFonts w:hint="eastAsia" w:ascii="宋体" w:hAnsi="宋体" w:eastAsia="宋体" w:cs="宋体"/>
          <w:sz w:val="22"/>
          <w:szCs w:val="22"/>
        </w:rPr>
      </w:pPr>
      <w:r>
        <w:rPr>
          <w:rFonts w:hint="eastAsia" w:ascii="宋体" w:hAnsi="宋体" w:eastAsia="宋体" w:cs="宋体"/>
          <w:sz w:val="22"/>
          <w:szCs w:val="22"/>
        </w:rPr>
        <w:br w:type="page"/>
      </w:r>
    </w:p>
    <w:p>
      <w:pPr>
        <w:spacing w:line="360" w:lineRule="auto"/>
        <w:jc w:val="center"/>
        <w:rPr>
          <w:rFonts w:hint="eastAsia" w:ascii="宋体" w:hAnsi="宋体" w:eastAsia="宋体" w:cs="宋体"/>
          <w:b/>
          <w:sz w:val="24"/>
          <w:szCs w:val="24"/>
        </w:rPr>
      </w:pPr>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中小企业声明函（工程、服务）</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承建（承接）企业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承建（承接）企业为（企业名称），从业人员__________________人，营业收入为__________________万元，资产总额为__________________万元1，属于（中型企业、小型企业、微型企业）；</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2：供应商应当自行核实是否属于小微企业，并认真填写声明函，若有虚假将追究其责任。</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2"/>
        <w:rPr>
          <w:rFonts w:hint="eastAsia" w:ascii="宋体" w:hAnsi="Times New Roman" w:cs="宋体"/>
          <w:b/>
          <w:bCs/>
          <w:color w:val="000000"/>
          <w:szCs w:val="24"/>
          <w:highlight w:val="none"/>
        </w:rPr>
      </w:pPr>
      <w:r>
        <w:rPr>
          <w:rFonts w:hint="eastAsia" w:cs="宋体"/>
          <w:b/>
          <w:bCs/>
          <w:color w:val="000000"/>
          <w:szCs w:val="24"/>
          <w:lang w:val="en-US" w:eastAsia="zh-CN"/>
        </w:rPr>
        <w:t>六、投标人认为有必要提供的其他资料。</w:t>
      </w:r>
    </w:p>
    <w:p>
      <w:pPr>
        <w:rPr>
          <w:rFonts w:hint="eastAsia"/>
        </w:rPr>
      </w:pPr>
    </w:p>
    <w:p>
      <w:pPr>
        <w:rPr>
          <w:rFonts w:hint="eastAsia"/>
        </w:rPr>
      </w:pPr>
    </w:p>
    <w:p>
      <w:pPr>
        <w:rPr>
          <w:rFonts w:hint="eastAsia"/>
        </w:rPr>
      </w:pPr>
    </w:p>
    <w:p>
      <w:pPr>
        <w:rPr>
          <w:rFonts w:hint="eastAsia"/>
        </w:rPr>
      </w:pPr>
    </w:p>
    <w:p>
      <w:pPr>
        <w:adjustRightInd w:val="0"/>
        <w:snapToGrid w:val="0"/>
        <w:spacing w:line="360" w:lineRule="auto"/>
        <w:rPr>
          <w:rFonts w:hint="eastAsia" w:ascii="宋体" w:hAnsi="宋体" w:cs="宋体"/>
          <w:szCs w:val="21"/>
        </w:rPr>
      </w:pPr>
      <w:r>
        <w:rPr>
          <w:rFonts w:hint="eastAsia" w:ascii="宋体" w:hAnsi="宋体" w:cs="宋体"/>
          <w:szCs w:val="21"/>
        </w:rPr>
        <w:t>投标人代表签字或者签章：</w:t>
      </w:r>
    </w:p>
    <w:p>
      <w:pPr>
        <w:adjustRightInd w:val="0"/>
        <w:snapToGrid w:val="0"/>
        <w:spacing w:line="360" w:lineRule="auto"/>
        <w:rPr>
          <w:rFonts w:hint="eastAsia" w:ascii="宋体" w:hAnsi="宋体" w:cs="宋体"/>
          <w:szCs w:val="21"/>
        </w:rPr>
      </w:pPr>
      <w:r>
        <w:rPr>
          <w:rFonts w:hint="eastAsia" w:ascii="宋体" w:hAnsi="宋体" w:cs="宋体"/>
          <w:szCs w:val="21"/>
        </w:rPr>
        <w:t>投标人名称（加盖公章）：</w:t>
      </w:r>
    </w:p>
    <w:p>
      <w:pPr>
        <w:adjustRightInd w:val="0"/>
        <w:snapToGrid w:val="0"/>
        <w:spacing w:line="360" w:lineRule="auto"/>
        <w:rPr>
          <w:rFonts w:hint="eastAsia" w:ascii="宋体" w:hAnsi="宋体" w:cs="宋体"/>
          <w:szCs w:val="21"/>
        </w:rPr>
      </w:pPr>
      <w:r>
        <w:rPr>
          <w:rFonts w:hint="eastAsia" w:ascii="宋体" w:hAnsi="宋体" w:cs="宋体"/>
          <w:szCs w:val="21"/>
        </w:rPr>
        <w:t>日期：年 月 日</w:t>
      </w:r>
    </w:p>
    <w:p>
      <w:pPr>
        <w:tabs>
          <w:tab w:val="left" w:pos="851"/>
        </w:tabs>
        <w:rPr>
          <w:rFonts w:hint="eastAsia" w:ascii="宋体" w:hAnsi="宋体" w:cs="宋体"/>
          <w:sz w:val="24"/>
          <w:szCs w:val="24"/>
        </w:rPr>
        <w:sectPr>
          <w:headerReference r:id="rId6" w:type="default"/>
          <w:footerReference r:id="rId7" w:type="default"/>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bookmarkStart w:id="41" w:name="_Toc56615725"/>
      <w:bookmarkStart w:id="42" w:name="_Toc28351"/>
      <w:r>
        <w:rPr>
          <w:rFonts w:hint="eastAsia" w:ascii="宋体" w:hAnsi="宋体" w:eastAsia="宋体" w:cs="宋体"/>
          <w:b/>
          <w:color w:val="auto"/>
          <w:sz w:val="36"/>
          <w:szCs w:val="44"/>
          <w:highlight w:val="none"/>
          <w:lang w:val="en-US" w:eastAsia="zh-CN" w:bidi="ar-SA"/>
        </w:rPr>
        <w:t>第六部分  投标人须知</w:t>
      </w:r>
      <w:bookmarkEnd w:id="41"/>
      <w:bookmarkEnd w:id="42"/>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43" w:name="_Toc453844574"/>
      <w:bookmarkStart w:id="44" w:name="_Toc259090934"/>
      <w:bookmarkStart w:id="45" w:name="_Toc276645574"/>
      <w:bookmarkStart w:id="46" w:name="_Toc7628"/>
      <w:bookmarkStart w:id="47" w:name="_Toc435345599"/>
      <w:r>
        <w:rPr>
          <w:rFonts w:hint="eastAsia" w:ascii="宋体" w:hAnsi="宋体" w:eastAsia="宋体" w:cs="宋体"/>
          <w:b/>
          <w:bCs/>
          <w:color w:val="auto"/>
          <w:kern w:val="2"/>
          <w:sz w:val="21"/>
          <w:szCs w:val="21"/>
          <w:highlight w:val="none"/>
          <w:lang w:val="en-US" w:bidi="ar-SA"/>
        </w:rPr>
        <w:t>一、说  明</w:t>
      </w:r>
      <w:bookmarkEnd w:id="43"/>
      <w:bookmarkEnd w:id="44"/>
      <w:bookmarkEnd w:id="45"/>
      <w:bookmarkEnd w:id="46"/>
      <w:bookmarkEnd w:id="47"/>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48" w:name="_Toc259090935"/>
      <w:bookmarkStart w:id="49" w:name="_Toc435345600"/>
      <w:bookmarkStart w:id="50" w:name="_Toc453844575"/>
      <w:r>
        <w:rPr>
          <w:rFonts w:hint="eastAsia" w:ascii="宋体" w:hAnsi="宋体" w:eastAsia="宋体" w:cs="宋体"/>
          <w:b/>
          <w:bCs/>
          <w:color w:val="auto"/>
          <w:kern w:val="2"/>
          <w:sz w:val="21"/>
          <w:szCs w:val="21"/>
          <w:highlight w:val="none"/>
          <w:lang w:val="en-US" w:bidi="ar-SA"/>
        </w:rPr>
        <w:t>1．适用范围</w:t>
      </w:r>
      <w:bookmarkEnd w:id="48"/>
      <w:bookmarkEnd w:id="49"/>
      <w:bookmarkEnd w:id="50"/>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1.1本招标文件适用于《投标人须知前附表》所述项目。</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1" w:name="_Toc453844576"/>
      <w:bookmarkStart w:id="52" w:name="_Toc259090936"/>
      <w:bookmarkStart w:id="53" w:name="_Toc435345601"/>
      <w:r>
        <w:rPr>
          <w:rFonts w:hint="eastAsia" w:ascii="宋体" w:hAnsi="宋体" w:eastAsia="宋体" w:cs="宋体"/>
          <w:b/>
          <w:bCs/>
          <w:color w:val="auto"/>
          <w:kern w:val="2"/>
          <w:sz w:val="21"/>
          <w:szCs w:val="21"/>
          <w:highlight w:val="none"/>
          <w:lang w:val="en-US" w:bidi="ar-SA"/>
        </w:rPr>
        <w:t>2．定义</w:t>
      </w:r>
      <w:bookmarkEnd w:id="51"/>
      <w:bookmarkEnd w:id="52"/>
      <w:bookmarkEnd w:id="53"/>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2.1“采购人”是指《投标人须知前附表》列明的、获得资金的国家机关、企事业单位、团体组织或者其他社会组织。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2.2“采购代理机构”是指：无。</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2.3“招标采购单位”是指：采购人或采购代理机构。</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2.4“投标人”是指：向采购人提供货物、工程、服务的法人、其他组织或者自然人。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2.5“货物”是指：各种形态和种类的物品，包括原材料、燃料、设备、产品等。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2.6“服务”是指：货物和工程以外的其他采购对象。</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2.7合格的投标人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2.7.1符合招标文件资格规定的投标人。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2.7.2符合《投标人须知前附表》所列资格要求的投标人。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2.8合格的货物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2.8.1投标人提供所有货物必须是全新的、未使用过的货物。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2.8.2国产的货物及其有关服务必须符合中华人民共和国的设计和制造的国家及行业标准、强制性规范。</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2.8.3进口的货物及其有关服务必须符合原产地和/或者中华人民共和国的设计和制造生产或者行业标准，具有合法的进口手续和途径，并通过了进口检验检疫主管部门的检验。</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2.8.4除非“投标须知前附表”中允许，否则不允许以进口产品参加投标。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2.8.5投标人应保证，采购人在中华人民共和国使用该货物或者货物的任何一部分时，免受第三方提出的侵犯其专利权、商标权、著作权或者其他知识产权的起诉。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2.8.6满足《投标人须知前附表》所列其他要求。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2.9合格的服务：满足《投标人须知前附表》所列要求。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2.10“中标人”是指经法定程序确定并授予合同的投标人。</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54" w:name="_Toc435345603"/>
      <w:bookmarkStart w:id="55" w:name="_Toc680"/>
      <w:bookmarkStart w:id="56" w:name="_Toc259090939"/>
      <w:bookmarkStart w:id="57" w:name="_Toc453844578"/>
      <w:r>
        <w:rPr>
          <w:rFonts w:hint="eastAsia" w:ascii="宋体" w:hAnsi="宋体" w:eastAsia="宋体" w:cs="宋体"/>
          <w:b/>
          <w:bCs/>
          <w:color w:val="auto"/>
          <w:kern w:val="2"/>
          <w:sz w:val="21"/>
          <w:szCs w:val="21"/>
          <w:highlight w:val="none"/>
          <w:lang w:val="en-US" w:bidi="ar-SA"/>
        </w:rPr>
        <w:t>二、</w:t>
      </w:r>
      <w:bookmarkEnd w:id="54"/>
      <w:bookmarkEnd w:id="55"/>
      <w:bookmarkEnd w:id="56"/>
      <w:bookmarkEnd w:id="57"/>
      <w:r>
        <w:rPr>
          <w:rFonts w:hint="eastAsia" w:ascii="宋体" w:hAnsi="宋体" w:eastAsia="宋体" w:cs="宋体"/>
          <w:b/>
          <w:bCs/>
          <w:color w:val="auto"/>
          <w:kern w:val="2"/>
          <w:sz w:val="21"/>
          <w:szCs w:val="21"/>
          <w:highlight w:val="none"/>
          <w:lang w:val="en-US" w:bidi="ar-SA"/>
        </w:rPr>
        <w:t>招标文件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8" w:name="_Toc435345604"/>
      <w:bookmarkStart w:id="59" w:name="_Toc259090940"/>
      <w:bookmarkStart w:id="60" w:name="_Toc453844579"/>
      <w:r>
        <w:rPr>
          <w:rFonts w:hint="eastAsia" w:ascii="宋体" w:hAnsi="宋体" w:eastAsia="宋体" w:cs="宋体"/>
          <w:b/>
          <w:bCs/>
          <w:color w:val="auto"/>
          <w:kern w:val="2"/>
          <w:sz w:val="21"/>
          <w:szCs w:val="21"/>
          <w:highlight w:val="none"/>
          <w:lang w:val="en-US" w:bidi="ar-SA"/>
        </w:rPr>
        <w:t>3．招标文件的构成</w:t>
      </w:r>
      <w:bookmarkEnd w:id="58"/>
      <w:bookmarkEnd w:id="59"/>
      <w:bookmarkEnd w:id="60"/>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3.1招标文件由下列文件以及在招标过程中发出的修正和补充文件组成：</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招标公告</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用户需求书</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投标人须知前附表</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 评标方法与标准</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5） </w:t>
      </w:r>
      <w:r>
        <w:rPr>
          <w:rFonts w:hint="eastAsia" w:ascii="宋体" w:hAnsi="宋体" w:eastAsia="宋体" w:cs="宋体"/>
          <w:color w:val="auto"/>
          <w:sz w:val="21"/>
          <w:szCs w:val="21"/>
          <w:highlight w:val="none"/>
          <w:lang w:val="en-US" w:bidi="ar-SA"/>
        </w:rPr>
        <w:t>合同文本</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6） 投标文件格式</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 xml:space="preserve">7） </w:t>
      </w:r>
      <w:r>
        <w:rPr>
          <w:rFonts w:hint="eastAsia" w:ascii="宋体" w:hAnsi="宋体" w:eastAsia="宋体" w:cs="宋体"/>
          <w:color w:val="auto"/>
          <w:kern w:val="2"/>
          <w:sz w:val="21"/>
          <w:szCs w:val="21"/>
          <w:highlight w:val="none"/>
          <w:lang w:val="en-US" w:bidi="ar-SA"/>
        </w:rPr>
        <w:t>投标人须知</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 在招标过程中由招标采购单位发出的修正和补充文件等</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3.2投标人应认真阅读、并充分理解招标文件的全部内容（包括所有的补充、修改内容、重要事项、格式、条款和技术规范、参数及要求等）。投标人没有按照招标文件要求提交全部资料，或者投标没有对招标文件在各方面都作出实质性响应是投标人的风险，有可能导致其投标被拒绝，或者被认定为无效投标或者被确定为投标无效。</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3.3投标人向本招标文件中所述的采购人咨询的有关本招标项目事项，一切以法律法规的规定和本公司书面答复为准，其他一切形式均为个人意见，不代表本</w:t>
      </w:r>
      <w:r>
        <w:rPr>
          <w:rFonts w:hint="eastAsia" w:ascii="宋体" w:hAnsi="宋体" w:eastAsia="宋体" w:cs="宋体"/>
          <w:color w:val="auto"/>
          <w:kern w:val="2"/>
          <w:sz w:val="21"/>
          <w:szCs w:val="21"/>
          <w:highlight w:val="none"/>
          <w:lang w:val="en-US" w:eastAsia="zh-CN" w:bidi="ar-SA"/>
        </w:rPr>
        <w:t>单位</w:t>
      </w:r>
      <w:r>
        <w:rPr>
          <w:rFonts w:hint="eastAsia" w:ascii="宋体" w:hAnsi="宋体" w:eastAsia="宋体" w:cs="宋体"/>
          <w:color w:val="auto"/>
          <w:kern w:val="2"/>
          <w:sz w:val="21"/>
          <w:szCs w:val="21"/>
          <w:highlight w:val="none"/>
          <w:lang w:val="en-US" w:bidi="ar-SA"/>
        </w:rPr>
        <w:t>的意见。</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1" w:name="_Toc453844580"/>
      <w:bookmarkStart w:id="62" w:name="_Toc435345605"/>
      <w:bookmarkStart w:id="63" w:name="_Toc259090941"/>
      <w:r>
        <w:rPr>
          <w:rFonts w:hint="eastAsia" w:ascii="宋体" w:hAnsi="宋体" w:eastAsia="宋体" w:cs="宋体"/>
          <w:b/>
          <w:bCs/>
          <w:color w:val="auto"/>
          <w:kern w:val="2"/>
          <w:sz w:val="21"/>
          <w:szCs w:val="21"/>
          <w:highlight w:val="none"/>
          <w:lang w:val="en-US" w:bidi="ar-SA"/>
        </w:rPr>
        <w:t>4．招标文件的澄清或者修改</w:t>
      </w:r>
      <w:bookmarkEnd w:id="61"/>
      <w:bookmarkEnd w:id="62"/>
      <w:bookmarkEnd w:id="63"/>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4.1招标文件的澄清是指采购人对招标文件中的遗漏、错误、词义表达不清或者对比较复杂的事项进行说明，回答投标人提出的各种问题。招标文件的修改是指采购人或者采购人对招标文件中出现的错误进行修订。投标截止期前的任何时候，无论出于何种原因，采购人可主动的或者在解答投标人提出的澄清问题时对招标文件进行修改，但不得改变采购标的和资格条件。澄清或者修改应当在原公告发布媒体上发布澄清公告。澄清或者修改的内容为招标文件的组成部分。</w:t>
      </w:r>
    </w:p>
    <w:p>
      <w:pPr>
        <w:keepLines/>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4.2任何要求对招标文件进行澄清的投标人，均应以书面形式通知招标采购单位。招标采购单位对其收到的对招标文件的书面澄清要求均以书面形式予以答复，同时将书面答复发给每个获取招标文件的投标人（答复中不包括问题的来源）。投标人在收到上述答复后，应立即向招标采购单位回函确认。该答复作为招标文件的一部分，对投标人有约束力。</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4.3招标文件的修改将以书面形式通知所有获取招标文件的投标人，并对其具有约束力。投标人在收到修改通知后，应立即向招标采购单位回函确认。</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4.4采购人对已发出的招标文件进行必要的澄清或者修改的，应当在招标文件要求提交投标文件截止时间至少十五个日历日前，以书面形式通知所有招标文件收受人。该澄清或者修改的内容为招标文件的组成部分。采购人修改招标文件之日起至投标截止期少于十五个日历日的，采购人或者采购代理机构应当顺延提交投标文件的截止时间，将变更时间书面通知所有招标文件收受人。</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4.5采购人或者采购代理机构将澄清（更正/变更）公告通知成功购买招标文件的投标人，投标人在收到澄清或者修改（更正/变更）通知后，应按要求以书面形式向采购人或者采购代理机构确认。如在24小时之内无书面确认则视为已收悉，并有责任履行相应的义务。</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64" w:name="_Toc259090942"/>
      <w:bookmarkStart w:id="65" w:name="_Toc31675"/>
      <w:bookmarkStart w:id="66" w:name="_Toc435345606"/>
      <w:bookmarkStart w:id="67" w:name="_Toc453844581"/>
      <w:r>
        <w:rPr>
          <w:rFonts w:hint="eastAsia" w:ascii="宋体" w:hAnsi="宋体" w:eastAsia="宋体" w:cs="宋体"/>
          <w:b/>
          <w:bCs/>
          <w:color w:val="auto"/>
          <w:kern w:val="2"/>
          <w:sz w:val="21"/>
          <w:szCs w:val="21"/>
          <w:highlight w:val="none"/>
          <w:lang w:val="en-US" w:bidi="ar-SA"/>
        </w:rPr>
        <w:t>三、投标文件的编制</w:t>
      </w:r>
      <w:bookmarkEnd w:id="64"/>
      <w:bookmarkEnd w:id="65"/>
      <w:bookmarkEnd w:id="66"/>
      <w:bookmarkEnd w:id="67"/>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8" w:name="_Toc259090943"/>
      <w:bookmarkStart w:id="69" w:name="_Toc453844582"/>
      <w:bookmarkStart w:id="70" w:name="_Toc435345607"/>
      <w:r>
        <w:rPr>
          <w:rFonts w:hint="eastAsia" w:ascii="宋体" w:hAnsi="宋体" w:eastAsia="宋体" w:cs="宋体"/>
          <w:b/>
          <w:bCs/>
          <w:color w:val="auto"/>
          <w:kern w:val="2"/>
          <w:sz w:val="21"/>
          <w:szCs w:val="21"/>
          <w:highlight w:val="none"/>
          <w:lang w:val="en-US" w:bidi="ar-SA"/>
        </w:rPr>
        <w:t>5．投标的语言</w:t>
      </w:r>
      <w:bookmarkEnd w:id="68"/>
      <w:r>
        <w:rPr>
          <w:rFonts w:hint="eastAsia" w:ascii="宋体" w:hAnsi="宋体" w:eastAsia="宋体" w:cs="宋体"/>
          <w:b/>
          <w:bCs/>
          <w:color w:val="auto"/>
          <w:kern w:val="2"/>
          <w:sz w:val="21"/>
          <w:szCs w:val="21"/>
          <w:highlight w:val="none"/>
          <w:lang w:val="en-US" w:bidi="ar-SA"/>
        </w:rPr>
        <w:t>及计量</w:t>
      </w:r>
      <w:bookmarkEnd w:id="69"/>
      <w:bookmarkEnd w:id="70"/>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5.1投标人提交的投标文件以及投标人与（招标采购单位）就有关投标的所有来往函电均应使用中文。投标人提交的支持文件或者印刷的资料可以用另一种语言，但相应内容应附有中文翻译本，在解释投标文件的修改内容时以中文翻译本为准。对中文翻译有异议的，以权威机构的译本为准。</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5.2除非招标文件中另有规定，投标人在投标文件中及其与招标采购单位的所有往来文件中的计量单位均应采用中华人民共和国法定计量单位。</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1" w:name="_Toc453844583"/>
      <w:bookmarkStart w:id="72" w:name="_Toc435345608"/>
      <w:bookmarkStart w:id="73" w:name="_Toc259090944"/>
      <w:r>
        <w:rPr>
          <w:rFonts w:hint="eastAsia" w:ascii="宋体" w:hAnsi="宋体" w:eastAsia="宋体" w:cs="宋体"/>
          <w:b/>
          <w:bCs/>
          <w:color w:val="auto"/>
          <w:kern w:val="2"/>
          <w:sz w:val="21"/>
          <w:szCs w:val="21"/>
          <w:highlight w:val="none"/>
          <w:lang w:val="en-US" w:bidi="ar-SA"/>
        </w:rPr>
        <w:t>6．投标文件的构成</w:t>
      </w:r>
      <w:bookmarkEnd w:id="71"/>
      <w:bookmarkEnd w:id="72"/>
      <w:bookmarkEnd w:id="73"/>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6.1投标文件的构成应符合法律法规及招标文件的要求，具体内容应包括但不少于本招标文件《投标文件格式》的所有内容。</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6.2投标文件必须按照招标文件要求签署、盖章（不接受电子公章、电子签名或者电子签章)。</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4" w:name="_Toc453844584"/>
      <w:bookmarkStart w:id="75" w:name="_Toc259090945"/>
      <w:bookmarkStart w:id="76" w:name="_Toc435345609"/>
      <w:r>
        <w:rPr>
          <w:rFonts w:hint="eastAsia" w:ascii="宋体" w:hAnsi="宋体" w:eastAsia="宋体" w:cs="宋体"/>
          <w:b/>
          <w:bCs/>
          <w:color w:val="auto"/>
          <w:kern w:val="2"/>
          <w:sz w:val="21"/>
          <w:szCs w:val="21"/>
          <w:highlight w:val="none"/>
          <w:lang w:val="en-US" w:bidi="ar-SA"/>
        </w:rPr>
        <w:t>7．投标文件编制</w:t>
      </w:r>
      <w:bookmarkEnd w:id="74"/>
      <w:bookmarkEnd w:id="75"/>
      <w:bookmarkEnd w:id="76"/>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7.1投标人应当对投标文件进行装订，对未经装订的投标文件可能发生的文件散落或缺损，由此产生的后果由投标人承担。</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7.2投标人应完整、真实、准确的填写招标文件中规定的所有内容。</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7.3投标人必须对投标文件所提供的全部资料的真实性承担法律责任，并无条件接受招标采购单位对其中任何资料进行核实的要求。</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7.4如果因为投标人投标文件填报的内容不详，或没有提供招标文件中所要求的全部资料及数据，由此造成的后果由投标人承担。</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7" w:name="_Toc453844585"/>
      <w:bookmarkStart w:id="78" w:name="_Toc435345610"/>
      <w:bookmarkStart w:id="79" w:name="_Toc259090946"/>
      <w:r>
        <w:rPr>
          <w:rFonts w:hint="eastAsia" w:ascii="宋体" w:hAnsi="宋体" w:eastAsia="宋体" w:cs="宋体"/>
          <w:b/>
          <w:bCs/>
          <w:color w:val="auto"/>
          <w:kern w:val="2"/>
          <w:sz w:val="21"/>
          <w:szCs w:val="21"/>
          <w:highlight w:val="none"/>
          <w:lang w:val="en-US" w:bidi="ar-SA"/>
        </w:rPr>
        <w:t>8．投标报价</w:t>
      </w:r>
      <w:bookmarkEnd w:id="77"/>
      <w:bookmarkEnd w:id="78"/>
      <w:bookmarkEnd w:id="79"/>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8.1如招标文件无特殊规定，投标价格以人民币填报。</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8.2投标人应按照《投标人须知前附表》《用户需求书》规定的内容进行报价，并按《报价表》确定的格式报出价格。投标总价中不得包含招标文件要求以外的内容，否则，在评标时不予核减。投标总价中也不得缺漏招标文件所要求的内容，否则，视为该漏报或者不报部分的费用已包括在已报的分项报价中而不予支付。</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8.3《投标分项报价表》填写时应响应下列要求：</w:t>
      </w:r>
    </w:p>
    <w:p>
      <w:pPr>
        <w:widowControl w:val="0"/>
        <w:autoSpaceDE/>
        <w:autoSpaceDN/>
        <w:adjustRightInd w:val="0"/>
        <w:snapToGrid w:val="0"/>
        <w:spacing w:before="0" w:after="0" w:line="360" w:lineRule="auto"/>
        <w:ind w:left="650" w:leftChars="200" w:right="0" w:hanging="210" w:hangingChars="1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所有根据合同或者其他原因应由投标人支付的税款和其他应缴纳的费用都要包括在投标人提交的投标价格中；</w:t>
      </w:r>
    </w:p>
    <w:p>
      <w:pPr>
        <w:widowControl w:val="0"/>
        <w:autoSpaceDE/>
        <w:autoSpaceDN/>
        <w:adjustRightInd w:val="0"/>
        <w:snapToGrid w:val="0"/>
        <w:spacing w:before="0" w:after="0" w:line="360" w:lineRule="auto"/>
        <w:ind w:left="700" w:right="0" w:hanging="28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2） </w:t>
      </w:r>
      <w:r>
        <w:rPr>
          <w:rFonts w:hint="eastAsia" w:ascii="宋体" w:hAnsi="宋体" w:eastAsia="宋体" w:cs="宋体"/>
          <w:color w:val="auto"/>
          <w:sz w:val="21"/>
          <w:szCs w:val="21"/>
          <w:highlight w:val="none"/>
          <w:lang w:val="en-US" w:bidi="ar-SA"/>
        </w:rPr>
        <w:t>应包含货物运至最终目的地的运输、保险和伴随货物服务的其他所有费用。</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8.4</w:t>
      </w:r>
      <w:r>
        <w:rPr>
          <w:rFonts w:hint="eastAsia" w:ascii="宋体" w:hAnsi="宋体" w:eastAsia="宋体" w:cs="宋体"/>
          <w:color w:val="auto"/>
          <w:kern w:val="2"/>
          <w:sz w:val="21"/>
          <w:szCs w:val="21"/>
          <w:highlight w:val="none"/>
          <w:lang w:val="en-US" w:bidi="ar-SA"/>
        </w:rPr>
        <w:t>投标文件报价出现前后不一致的，按照下列规定修正：（一）投标文件中</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报价表</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前款规定的顺序修正。</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0" w:name="_Toc435345611"/>
      <w:bookmarkStart w:id="81" w:name="_Toc453844586"/>
      <w:bookmarkStart w:id="82" w:name="_Toc259090947"/>
      <w:r>
        <w:rPr>
          <w:rFonts w:hint="eastAsia" w:ascii="宋体" w:hAnsi="宋体" w:eastAsia="宋体" w:cs="宋体"/>
          <w:b/>
          <w:bCs/>
          <w:color w:val="auto"/>
          <w:kern w:val="2"/>
          <w:sz w:val="21"/>
          <w:szCs w:val="21"/>
          <w:highlight w:val="none"/>
          <w:lang w:val="en-US" w:bidi="ar-SA"/>
        </w:rPr>
        <w:t>9．备选方案</w:t>
      </w:r>
      <w:bookmarkEnd w:id="80"/>
      <w:bookmarkEnd w:id="81"/>
      <w:bookmarkEnd w:id="82"/>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9.1只允许投标人有一个投标方案，否则将被视为无效投标。（招标文件允许有备选方案的除外）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3" w:name="_Toc259090949"/>
      <w:bookmarkStart w:id="84" w:name="_Toc435345612"/>
      <w:bookmarkStart w:id="85" w:name="_Toc453844587"/>
      <w:r>
        <w:rPr>
          <w:rFonts w:hint="eastAsia" w:ascii="宋体" w:hAnsi="宋体" w:eastAsia="宋体" w:cs="宋体"/>
          <w:b/>
          <w:bCs/>
          <w:color w:val="auto"/>
          <w:kern w:val="2"/>
          <w:sz w:val="21"/>
          <w:szCs w:val="21"/>
          <w:highlight w:val="none"/>
          <w:lang w:val="en-US" w:bidi="ar-SA"/>
        </w:rPr>
        <w:t>10．投标人资格证明文件</w:t>
      </w:r>
      <w:bookmarkEnd w:id="83"/>
      <w:bookmarkEnd w:id="84"/>
      <w:bookmarkEnd w:id="85"/>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10.1投标人应按招标文件的要求，提交证明其有资格参加投标和中标后有履行合同能力的文件，并作为其投标文件的组成部分，内容详见招标文件《投标文件格式》中的“资格性文件”。</w:t>
      </w:r>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10.2资格证明文件必须真实有效，复印件必须加盖单位印章；招标文件投标人资格要求或者《投标文件格式》中的“资格性文件”要求携带原件的，投标人应该在开标现场向评标委员会提供原件核对，否则将作无效投标处理。</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6" w:name="_Toc259090951"/>
      <w:bookmarkStart w:id="87" w:name="_Toc435345614"/>
      <w:bookmarkStart w:id="88" w:name="_Toc230597966"/>
      <w:bookmarkStart w:id="89" w:name="_Toc453844589"/>
      <w:bookmarkStart w:id="90" w:name="_Toc42923352"/>
      <w:bookmarkStart w:id="91" w:name="_Toc222823292"/>
      <w:r>
        <w:rPr>
          <w:rFonts w:hint="eastAsia" w:ascii="宋体" w:hAnsi="宋体" w:eastAsia="宋体" w:cs="宋体"/>
          <w:b/>
          <w:bCs/>
          <w:color w:val="auto"/>
          <w:kern w:val="2"/>
          <w:sz w:val="21"/>
          <w:szCs w:val="21"/>
          <w:highlight w:val="none"/>
          <w:lang w:val="en-US" w:bidi="ar-SA"/>
        </w:rPr>
        <w:t>11．投标有效期</w:t>
      </w:r>
      <w:bookmarkEnd w:id="86"/>
      <w:bookmarkEnd w:id="87"/>
      <w:bookmarkEnd w:id="88"/>
      <w:bookmarkEnd w:id="89"/>
      <w:bookmarkEnd w:id="90"/>
      <w:bookmarkEnd w:id="91"/>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.1 投标文件应在《投标人须知前附表》规定的时间内保持有效。投标有效期比规定时间短的将作无效投标处理。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.2 特殊情况下，采购人可于投标有效期期满之前，要求投标人同意延长投标有效期，要求与答复均应为书面形式。投标人可以拒绝上述要求。对于同意该要求的投标人，既不要求也不允许其修改投标文件。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92" w:name="_Toc259090952"/>
      <w:bookmarkStart w:id="93" w:name="_Toc453844590"/>
      <w:bookmarkStart w:id="94" w:name="_Toc435345615"/>
      <w:r>
        <w:rPr>
          <w:rFonts w:hint="eastAsia" w:ascii="宋体" w:hAnsi="宋体" w:eastAsia="宋体" w:cs="宋体"/>
          <w:b/>
          <w:bCs/>
          <w:color w:val="auto"/>
          <w:kern w:val="2"/>
          <w:sz w:val="21"/>
          <w:szCs w:val="21"/>
          <w:highlight w:val="none"/>
          <w:lang w:val="en-US" w:bidi="ar-SA"/>
        </w:rPr>
        <w:t>12．投标文件的数量和签署</w:t>
      </w:r>
      <w:bookmarkEnd w:id="92"/>
      <w:bookmarkEnd w:id="93"/>
      <w:bookmarkEnd w:id="94"/>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 投标人应按《投标人须知前附表》规定的数量提交投标文件，投标文件的副本可采用正本的复印件。每套投标文件须清楚地标明“正本”“副本”。若副本与正本不符，以正本为准。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12.2 投标文件的正本需打印或者用不褪色墨水书写，并由法定代表人或者经其正式授权的代表签字，被授权代表签字的应在投标文件中附《法定代表人授权书》。</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12.3 投标文件中的任何重要的插字、涂改和增删，必须由法定代表人或者经其正式授权的代表在旁边签章或者签字才有效。（暗标除外）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12.4招标文件中已明示需盖章签名处，均须加盖投标人公章，并经投标人法定代表人或者其授权委托人签名或者盖章。（暗标除外）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12.5电报、电话、传真形式的投标文件概不接受。</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95" w:name="_Toc259090953"/>
      <w:bookmarkStart w:id="96" w:name="_Toc453844591"/>
      <w:bookmarkStart w:id="97" w:name="_Toc435345616"/>
      <w:bookmarkStart w:id="98" w:name="_Toc24707"/>
      <w:r>
        <w:rPr>
          <w:rFonts w:hint="eastAsia" w:ascii="宋体" w:hAnsi="宋体" w:eastAsia="宋体" w:cs="宋体"/>
          <w:b/>
          <w:bCs/>
          <w:color w:val="auto"/>
          <w:kern w:val="2"/>
          <w:sz w:val="21"/>
          <w:szCs w:val="21"/>
          <w:highlight w:val="none"/>
          <w:lang w:val="en-US" w:bidi="ar-SA"/>
        </w:rPr>
        <w:t>四、投标文件的递交</w:t>
      </w:r>
      <w:bookmarkEnd w:id="95"/>
      <w:bookmarkEnd w:id="96"/>
      <w:bookmarkEnd w:id="97"/>
      <w:bookmarkEnd w:id="98"/>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99" w:name="_Toc435345617"/>
      <w:bookmarkStart w:id="100" w:name="_Toc453844592"/>
      <w:bookmarkStart w:id="101" w:name="_Toc259090954"/>
      <w:r>
        <w:rPr>
          <w:rFonts w:hint="eastAsia" w:ascii="宋体" w:hAnsi="宋体" w:eastAsia="宋体" w:cs="宋体"/>
          <w:b/>
          <w:bCs/>
          <w:color w:val="auto"/>
          <w:kern w:val="2"/>
          <w:sz w:val="21"/>
          <w:szCs w:val="21"/>
          <w:highlight w:val="none"/>
          <w:lang w:val="en-US" w:bidi="ar-SA"/>
        </w:rPr>
        <w:t>13．投标文件的密封和标记</w:t>
      </w:r>
      <w:bookmarkEnd w:id="99"/>
      <w:bookmarkEnd w:id="100"/>
      <w:bookmarkEnd w:id="101"/>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13.1投标人应将投标文件正本和副本进行密封。</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13.2每一密封信封均应：</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（1）标明项目编号、项目名称，并注明“正本”或者“副本”字样；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（2）注明“于（投标截止时间）之前不准启封”的字样。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（3）</w:t>
      </w:r>
      <w:r>
        <w:rPr>
          <w:rFonts w:hint="eastAsia" w:ascii="宋体" w:hAnsi="宋体" w:eastAsia="宋体" w:cs="宋体"/>
          <w:color w:val="auto"/>
          <w:kern w:val="2"/>
          <w:sz w:val="21"/>
          <w:szCs w:val="21"/>
          <w:highlight w:val="none"/>
          <w:lang w:val="en-US" w:bidi="ar-SA"/>
        </w:rPr>
        <w:t>封口处应加盖投标人印章</w:t>
      </w:r>
      <w:r>
        <w:rPr>
          <w:rFonts w:hint="eastAsia" w:ascii="宋体" w:hAnsi="宋体" w:eastAsia="宋体" w:cs="宋体"/>
          <w:color w:val="auto"/>
          <w:sz w:val="21"/>
          <w:szCs w:val="21"/>
          <w:highlight w:val="none"/>
          <w:lang w:val="en-US" w:bidi="ar-SA"/>
        </w:rPr>
        <w:t>。</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13.3如果信封未按本须知第14.1条和第14.2条要求进行密封和标记的，采购人不会拒绝接收其投标文件，但采购人对误投或者过早启封以及由此造成的风险和损失概不负责。</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13.4投标文件未密封的或者在递交截止时间后递交的，采购人将拒绝接收。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2" w:name="_Toc435345618"/>
      <w:bookmarkStart w:id="103" w:name="_Toc453844593"/>
      <w:bookmarkStart w:id="104" w:name="_Toc259090955"/>
      <w:r>
        <w:rPr>
          <w:rFonts w:hint="eastAsia" w:ascii="宋体" w:hAnsi="宋体" w:eastAsia="宋体" w:cs="宋体"/>
          <w:b/>
          <w:bCs/>
          <w:color w:val="auto"/>
          <w:kern w:val="2"/>
          <w:sz w:val="21"/>
          <w:szCs w:val="21"/>
          <w:highlight w:val="none"/>
          <w:lang w:val="en-US" w:bidi="ar-SA"/>
        </w:rPr>
        <w:t>14．投标截止期</w:t>
      </w:r>
      <w:bookmarkEnd w:id="102"/>
      <w:bookmarkEnd w:id="103"/>
      <w:bookmarkEnd w:id="104"/>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14.1招标采购单位在《投标人须知前附表》中规定的地点和投标截止时间之前接收投标文件，超过截止时点后的投标为无效投标。“提交投标文件截止时间”和“开标时间”不包含最后一分钟。例如，提交投标文件截止时间为9:30表示截止时间为9点30分00秒。</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14.2招标采购单位可以按本须知5.规定，通过修改招标文件自行决定酌情延长投标截止期。在此情况下，招标采购单位和投标人受投标截止期制约的所有权利和义务均应延长至新的截止期。</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5" w:name="_Toc453844594"/>
      <w:bookmarkStart w:id="106" w:name="_Toc259090956"/>
      <w:bookmarkStart w:id="107" w:name="_Toc435345619"/>
      <w:r>
        <w:rPr>
          <w:rFonts w:hint="eastAsia" w:ascii="宋体" w:hAnsi="宋体" w:eastAsia="宋体" w:cs="宋体"/>
          <w:b/>
          <w:bCs/>
          <w:color w:val="auto"/>
          <w:kern w:val="2"/>
          <w:sz w:val="21"/>
          <w:szCs w:val="21"/>
          <w:highlight w:val="none"/>
          <w:lang w:val="en-US" w:bidi="ar-SA"/>
        </w:rPr>
        <w:t>15．投标文件的修改和撤回</w:t>
      </w:r>
      <w:bookmarkEnd w:id="105"/>
      <w:bookmarkEnd w:id="106"/>
      <w:bookmarkEnd w:id="107"/>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widowControl w:val="0"/>
        <w:tabs>
          <w:tab w:val="left" w:pos="7740"/>
        </w:tabs>
        <w:autoSpaceDE w:val="0"/>
        <w:autoSpaceDN w:val="0"/>
        <w:adjustRightInd w:val="0"/>
        <w:snapToGrid w:val="0"/>
        <w:spacing w:before="3"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15.2投标人在递交投标文件后，可以撤回其投标，但投标人必须在规定的投标截止时点前以书面形式告知招标采购单位。从投标截止期至投标人承诺的投标有效期内，投标人不得撤回其投标。</w:t>
      </w:r>
    </w:p>
    <w:p>
      <w:pPr>
        <w:widowControl w:val="0"/>
        <w:autoSpaceDE/>
        <w:autoSpaceDN/>
        <w:adjustRightInd w:val="0"/>
        <w:snapToGrid w:val="0"/>
        <w:spacing w:before="0" w:after="0" w:line="360" w:lineRule="auto"/>
        <w:ind w:left="720" w:right="32" w:hanging="7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15</w:t>
      </w:r>
      <w:r>
        <w:rPr>
          <w:rFonts w:hint="eastAsia" w:ascii="宋体" w:hAnsi="宋体" w:eastAsia="宋体" w:cs="宋体"/>
          <w:color w:val="auto"/>
          <w:kern w:val="2"/>
          <w:sz w:val="21"/>
          <w:szCs w:val="21"/>
          <w:highlight w:val="none"/>
          <w:lang w:val="en-US" w:bidi="ar-SA"/>
        </w:rPr>
        <w:t>.3投标人所提交的投标文件在评标结束后，无论中标与否都不退还。</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08" w:name="_Toc11608"/>
      <w:bookmarkStart w:id="109" w:name="_Toc435345620"/>
      <w:bookmarkStart w:id="110" w:name="_Toc453844595"/>
      <w:bookmarkStart w:id="111" w:name="_Toc259090957"/>
      <w:r>
        <w:rPr>
          <w:rFonts w:hint="eastAsia" w:ascii="宋体" w:hAnsi="宋体" w:eastAsia="宋体" w:cs="宋体"/>
          <w:b/>
          <w:bCs/>
          <w:color w:val="auto"/>
          <w:kern w:val="2"/>
          <w:sz w:val="21"/>
          <w:szCs w:val="21"/>
          <w:highlight w:val="none"/>
          <w:lang w:val="en-US" w:bidi="ar-SA"/>
        </w:rPr>
        <w:t>五、开标、评标、定标</w:t>
      </w:r>
      <w:bookmarkEnd w:id="108"/>
      <w:bookmarkEnd w:id="109"/>
      <w:bookmarkEnd w:id="110"/>
      <w:bookmarkEnd w:id="111"/>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2" w:name="_Toc435345621"/>
      <w:bookmarkStart w:id="113" w:name="_Toc453844596"/>
      <w:bookmarkStart w:id="114" w:name="_Toc259090958"/>
      <w:r>
        <w:rPr>
          <w:rFonts w:hint="eastAsia" w:ascii="宋体" w:hAnsi="宋体" w:eastAsia="宋体" w:cs="宋体"/>
          <w:b/>
          <w:bCs/>
          <w:color w:val="auto"/>
          <w:kern w:val="2"/>
          <w:sz w:val="21"/>
          <w:szCs w:val="21"/>
          <w:highlight w:val="none"/>
          <w:lang w:val="en-US" w:bidi="ar-SA"/>
        </w:rPr>
        <w:t>17．开标</w:t>
      </w:r>
      <w:bookmarkEnd w:id="112"/>
      <w:bookmarkEnd w:id="113"/>
      <w:bookmarkEnd w:id="114"/>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16.1招标采购单位在《投标人须知前附表》中规定的日期、时间和地点组织公开开标。开标时原则上应当有采购人代表和投标人代表参加，投标人代表因自身原因未参加开标会议的，视同认可开标结果。参加开标的代表应签到以证明其出席。</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16.2开标时，采购人邀请投标人对自己提交的投标文件的密封情况进行检查，当参加投标的投标人较多时，也可以由前三名递交投标文件的投标人被授权代表作为全体投标人推选的代表就全部投标文件的密封情况进行检查，经确认无误后由招标工作人员当众拆封。招标工作人员宣读投标人名称、投标价格、价格折扣、投标文件的其他主要内容和招标文件允许提供的备选投标方案。</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16.3招标采购单位做好开标记录，开标记录由各投标人代表签字确认；如开标记录表内容与投标文件不一致，或者投标人对开标有异议的，投标人代表须当场提出。</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5" w:name="_Toc259090959"/>
      <w:bookmarkStart w:id="116" w:name="_Toc435345622"/>
      <w:bookmarkStart w:id="117" w:name="_Toc453844597"/>
      <w:r>
        <w:rPr>
          <w:rFonts w:hint="eastAsia" w:ascii="宋体" w:hAnsi="宋体" w:eastAsia="宋体" w:cs="宋体"/>
          <w:b/>
          <w:bCs/>
          <w:color w:val="auto"/>
          <w:kern w:val="2"/>
          <w:sz w:val="21"/>
          <w:szCs w:val="21"/>
          <w:highlight w:val="none"/>
          <w:lang w:val="en-US" w:bidi="ar-SA"/>
        </w:rPr>
        <w:t>17．评标委员会</w:t>
      </w:r>
      <w:bookmarkEnd w:id="115"/>
      <w:bookmarkEnd w:id="116"/>
      <w:bookmarkEnd w:id="117"/>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17.1 评标由招标采购单位依照招标文件的规定，组建的评标委员会负责。评标委员会成员由采购人代表和技术、经济等方面的评审专家组成，采购人代表人数、专家人数及专业构成按招标文件规定确定。评标委员会成员依法从采购人的专家库中随机抽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8" w:name="_Toc453844598"/>
      <w:bookmarkStart w:id="119" w:name="_Toc435345623"/>
      <w:bookmarkStart w:id="120" w:name="_Toc259090960"/>
      <w:r>
        <w:rPr>
          <w:rFonts w:hint="eastAsia" w:ascii="宋体" w:hAnsi="宋体" w:eastAsia="宋体" w:cs="宋体"/>
          <w:b/>
          <w:bCs/>
          <w:color w:val="auto"/>
          <w:kern w:val="2"/>
          <w:sz w:val="21"/>
          <w:szCs w:val="21"/>
          <w:highlight w:val="none"/>
          <w:lang w:val="en-US" w:bidi="ar-SA"/>
        </w:rPr>
        <w:t>18．评标程序</w:t>
      </w:r>
      <w:bookmarkEnd w:id="118"/>
      <w:bookmarkEnd w:id="119"/>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18.1投标文件初步审查（初审）。初步审查分为资格审查和符合性审查。</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18.1.1资格审查。依据法律法规和招标文件的规定，采购人或采购代理机构对投标文件中的资格证明等进行审查，以确定投标人是否具备投标资格。</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18.1.2符合性审查。依据招标文件的规定，从投标文件的有效性、完整性和对招标文件的响应程度进行审查，以确定是否对招标文件的实质性要求作出响应。</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18.1.3在投标文件初审过程中，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内容，而不依据或者寻求任何外部的证据。</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18.1.4 实质上没有响应招标文件要求的投标将被视为无效投标。投标人不得通过修正或者撤销不合要求的偏离从而使其投标文件成为实质上响应的投标。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18.1.5 在投标文件初审过程中，如发现《投标人须知前附表》所列情形之一的，投标文件将确定为无效投标。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18.1.6对各投标人进行资格性和符合性审查过程中，对初步被认定为初审不合格或者无效投标者应实行及时告知投标当事人，以让其核证、澄清事实。</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18.2澄清有关问题。</w:t>
      </w:r>
    </w:p>
    <w:p>
      <w:pPr>
        <w:widowControl w:val="0"/>
        <w:autoSpaceDE/>
        <w:autoSpaceDN/>
        <w:spacing w:before="0" w:after="0" w:line="360" w:lineRule="auto"/>
        <w:ind w:left="600" w:right="0" w:hanging="60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18.2.1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被授权代表签字，但不得超出投标文件的范围或者改变投标文件的实质性内容。</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w:t>
      </w:r>
      <w:r>
        <w:rPr>
          <w:rFonts w:hint="eastAsia" w:ascii="宋体" w:hAnsi="宋体" w:eastAsia="宋体" w:cs="宋体"/>
          <w:color w:val="auto"/>
          <w:kern w:val="2"/>
          <w:sz w:val="21"/>
          <w:szCs w:val="21"/>
          <w:highlight w:val="none"/>
          <w:lang w:val="en-US" w:bidi="ar-SA"/>
        </w:rPr>
        <w:t>.2.2 投标人的澄清文件是其投标文件的组成部分。</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18.3比较与评价。按招标文件《投标人须知前附表》规定的评标方法和标准，对资格审查和符合性审查合格的投标文件进行商务和技术评估，综合比较与评价。</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18.4按照《投标人须知前附表》所列数量推荐中标候选人名单。</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18.5评标委员会认为（招标文件中存在含义不明确或者表述不一致的内容）需要采购人对招标文件条款进行澄清的，可以要求招标采购单位进行澄清，澄清不得背离招标文件的实质内容（不得超出招标文件的范围或者改变招标文件的真实意思表示）。</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18.6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bookmarkEnd w:id="120"/>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1" w:name="_Toc435345624"/>
      <w:bookmarkStart w:id="122" w:name="_Toc259090963"/>
      <w:bookmarkStart w:id="123" w:name="_Toc453844599"/>
      <w:r>
        <w:rPr>
          <w:rFonts w:hint="eastAsia" w:ascii="宋体" w:hAnsi="宋体" w:eastAsia="宋体" w:cs="宋体"/>
          <w:b/>
          <w:bCs/>
          <w:color w:val="auto"/>
          <w:kern w:val="2"/>
          <w:sz w:val="21"/>
          <w:szCs w:val="21"/>
          <w:highlight w:val="none"/>
          <w:lang w:val="en-US" w:bidi="ar-SA"/>
        </w:rPr>
        <w:t>19．定标</w:t>
      </w:r>
      <w:bookmarkEnd w:id="121"/>
      <w:bookmarkEnd w:id="122"/>
      <w:bookmarkEnd w:id="123"/>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19.1定标程序。采购人在收到评标报告后五个工作日内，按照评标报告中推荐的中标候选人顺序确定中标人；也可以授权评标委员会直接确定中标人。具体见《投标人须知前附表》。</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19.2 中标人确定后，招标采购单位将在招标文件指定的媒体上发布中标结果公告，并向中标人发出《中标通知书》，《中标通知书》对中标人和采购人具有同等法律效力。</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19.3 中标结果公告的公告期限为1个工作日，结果公告同时作为采购人通知除中标人外的其他投标人没有中标的书面形式，采购人不再以其他形式另行通知。</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4" w:name="_Toc435345625"/>
      <w:bookmarkStart w:id="125" w:name="_Toc259090964"/>
      <w:bookmarkStart w:id="126" w:name="_Toc453844600"/>
      <w:r>
        <w:rPr>
          <w:rFonts w:hint="eastAsia" w:ascii="宋体" w:hAnsi="宋体" w:eastAsia="宋体" w:cs="宋体"/>
          <w:b/>
          <w:bCs/>
          <w:color w:val="auto"/>
          <w:kern w:val="2"/>
          <w:sz w:val="21"/>
          <w:szCs w:val="21"/>
          <w:highlight w:val="none"/>
          <w:lang w:val="en-US" w:bidi="ar-SA"/>
        </w:rPr>
        <w:t>20．替补候选人的设定与使用</w:t>
      </w:r>
      <w:bookmarkEnd w:id="124"/>
      <w:bookmarkEnd w:id="125"/>
      <w:bookmarkEnd w:id="126"/>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7" w:name="_Toc435345626"/>
      <w:bookmarkStart w:id="128" w:name="_Toc230597979"/>
      <w:bookmarkStart w:id="129" w:name="_Toc453844601"/>
      <w:bookmarkStart w:id="130" w:name="_Toc222823305"/>
      <w:bookmarkStart w:id="131" w:name="_Toc42923365"/>
      <w:bookmarkStart w:id="132" w:name="_Toc259090965"/>
      <w:r>
        <w:rPr>
          <w:rFonts w:hint="eastAsia" w:ascii="宋体" w:hAnsi="宋体" w:eastAsia="宋体" w:cs="宋体"/>
          <w:color w:val="auto"/>
          <w:sz w:val="21"/>
          <w:szCs w:val="21"/>
          <w:highlight w:val="none"/>
          <w:lang w:val="en-US" w:bidi="ar-SA"/>
        </w:rPr>
        <w:t>20.1 中标人因不可抗力或者自身原因不能履行采购合同的，采购人可以与排位在中标人之后第一位的中标候选人签订采购合同（以此类推，但中标资格只顺延给中标候选人），或者重新组织招标。</w:t>
      </w:r>
      <w:r>
        <w:rPr>
          <w:rFonts w:hint="eastAsia" w:ascii="宋体" w:hAnsi="宋体" w:eastAsia="宋体" w:cs="宋体"/>
          <w:b/>
          <w:bCs/>
          <w:color w:val="auto"/>
          <w:kern w:val="2"/>
          <w:sz w:val="21"/>
          <w:szCs w:val="21"/>
          <w:highlight w:val="none"/>
          <w:lang w:val="en-US" w:bidi="ar-SA"/>
        </w:rPr>
        <w:t>21．评标注意事项</w:t>
      </w:r>
      <w:bookmarkEnd w:id="127"/>
      <w:bookmarkEnd w:id="128"/>
      <w:bookmarkEnd w:id="129"/>
      <w:bookmarkEnd w:id="130"/>
      <w:bookmarkEnd w:id="131"/>
      <w:bookmarkEnd w:id="132"/>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12.1评委会除主动要求询标外，从开标后至发出《中标通知书》期间，任何投标人均不得就与其投标有关的任何问题与采购人及评标委员会联系。</w:t>
      </w:r>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21.2为保证采购活动的公正性，除本须知20.2的规定外，在开标、评标过程中，评标委员会成员不得与投标人私下交换意见。在招标工作结束后，评标委员会成员和参与评标的有关工作人员不得泄漏对投标文件的评审和比较以及与评标有关的其他情况。</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33" w:name="_Toc21441"/>
      <w:bookmarkStart w:id="134" w:name="_Toc435345628"/>
      <w:bookmarkStart w:id="135" w:name="_Toc259090966"/>
      <w:bookmarkStart w:id="136" w:name="_Toc453844603"/>
      <w:r>
        <w:rPr>
          <w:rFonts w:hint="eastAsia" w:ascii="宋体" w:hAnsi="宋体" w:eastAsia="宋体" w:cs="宋体"/>
          <w:b/>
          <w:bCs/>
          <w:color w:val="auto"/>
          <w:kern w:val="2"/>
          <w:sz w:val="21"/>
          <w:szCs w:val="21"/>
          <w:highlight w:val="none"/>
          <w:lang w:val="en-US" w:bidi="ar-SA"/>
        </w:rPr>
        <w:t>六、合同的订立和履行</w:t>
      </w:r>
      <w:bookmarkEnd w:id="133"/>
      <w:bookmarkEnd w:id="134"/>
      <w:bookmarkEnd w:id="135"/>
      <w:bookmarkEnd w:id="136"/>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37" w:name="_Toc435345629"/>
      <w:bookmarkStart w:id="138" w:name="_Toc259090967"/>
      <w:bookmarkStart w:id="139" w:name="_Toc453844604"/>
      <w:r>
        <w:rPr>
          <w:rFonts w:hint="eastAsia" w:ascii="宋体" w:hAnsi="宋体" w:eastAsia="宋体" w:cs="宋体"/>
          <w:b/>
          <w:bCs/>
          <w:color w:val="auto"/>
          <w:kern w:val="2"/>
          <w:sz w:val="21"/>
          <w:szCs w:val="21"/>
          <w:highlight w:val="none"/>
          <w:lang w:val="en-US" w:bidi="ar-SA"/>
        </w:rPr>
        <w:t>22．合同的订立</w:t>
      </w:r>
      <w:bookmarkEnd w:id="137"/>
      <w:bookmarkEnd w:id="138"/>
      <w:bookmarkEnd w:id="139"/>
    </w:p>
    <w:p>
      <w:pPr>
        <w:widowControl w:val="0"/>
        <w:autoSpaceDE/>
        <w:autoSpaceDN/>
        <w:spacing w:before="0" w:after="0" w:line="360" w:lineRule="auto"/>
        <w:ind w:left="525" w:right="0" w:hanging="525" w:hangingChars="250"/>
        <w:jc w:val="both"/>
        <w:rPr>
          <w:rFonts w:hint="eastAsia" w:ascii="宋体" w:hAnsi="宋体" w:eastAsia="宋体" w:cs="宋体"/>
          <w:color w:val="auto"/>
          <w:sz w:val="21"/>
          <w:szCs w:val="21"/>
          <w:highlight w:val="none"/>
          <w:lang w:val="en-US" w:bidi="ar-SA"/>
        </w:rPr>
      </w:pPr>
      <w:bookmarkStart w:id="140" w:name="_Toc453844605"/>
      <w:bookmarkStart w:id="141" w:name="_Toc435345630"/>
      <w:bookmarkStart w:id="142" w:name="_Toc259090968"/>
      <w:r>
        <w:rPr>
          <w:rFonts w:hint="eastAsia" w:ascii="宋体" w:hAnsi="宋体" w:eastAsia="宋体" w:cs="宋体"/>
          <w:color w:val="auto"/>
          <w:sz w:val="21"/>
          <w:szCs w:val="21"/>
          <w:highlight w:val="none"/>
          <w:lang w:val="en-US" w:bidi="ar-SA"/>
        </w:rPr>
        <w:t>22.1 采购人与中标人自中标通知书发出之日起三十日内，按招标文件要求和中标人投标文件承诺签订采购合同，但不得超出招标文件和中标人投标文件的范围、也不得再行订立背离合同实质性内容的其他协议。</w:t>
      </w:r>
    </w:p>
    <w:bookmarkEnd w:id="140"/>
    <w:bookmarkEnd w:id="141"/>
    <w:bookmarkEnd w:id="142"/>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43" w:name="_Toc32378"/>
      <w:bookmarkStart w:id="144" w:name="_Toc435345631"/>
      <w:bookmarkStart w:id="145" w:name="_Toc259090969"/>
      <w:bookmarkStart w:id="146" w:name="_Toc453844606"/>
      <w:r>
        <w:rPr>
          <w:rFonts w:hint="eastAsia" w:ascii="宋体" w:hAnsi="宋体" w:eastAsia="宋体" w:cs="宋体"/>
          <w:b/>
          <w:bCs/>
          <w:color w:val="auto"/>
          <w:kern w:val="2"/>
          <w:sz w:val="21"/>
          <w:szCs w:val="21"/>
          <w:highlight w:val="none"/>
          <w:lang w:val="en-US" w:bidi="ar-SA"/>
        </w:rPr>
        <w:t>七、质疑</w:t>
      </w:r>
      <w:bookmarkEnd w:id="143"/>
      <w:bookmarkEnd w:id="144"/>
      <w:bookmarkEnd w:id="145"/>
      <w:bookmarkEnd w:id="146"/>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47" w:name="_Toc435345632"/>
      <w:bookmarkStart w:id="148" w:name="_Toc453844607"/>
      <w:bookmarkStart w:id="149" w:name="_Toc259090970"/>
      <w:r>
        <w:rPr>
          <w:rFonts w:hint="eastAsia" w:ascii="宋体" w:hAnsi="宋体" w:eastAsia="宋体" w:cs="宋体"/>
          <w:b/>
          <w:bCs/>
          <w:color w:val="auto"/>
          <w:kern w:val="2"/>
          <w:sz w:val="21"/>
          <w:szCs w:val="21"/>
          <w:highlight w:val="none"/>
          <w:lang w:val="en-US" w:bidi="ar-SA"/>
        </w:rPr>
        <w:t>23.质疑</w:t>
      </w:r>
      <w:bookmarkEnd w:id="147"/>
      <w:bookmarkEnd w:id="148"/>
      <w:bookmarkEnd w:id="149"/>
    </w:p>
    <w:p>
      <w:pPr>
        <w:widowControl w:val="0"/>
        <w:tabs>
          <w:tab w:val="left" w:pos="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23.1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或采购代理机构将不再受理此后对招标文件的任何异议。接收质疑函的方式：书面形式。</w:t>
      </w:r>
    </w:p>
    <w:p>
      <w:pPr>
        <w:widowControl w:val="0"/>
        <w:ind w:left="0" w:leftChars="0" w:firstLine="0" w:firstLineChars="0"/>
        <w:jc w:val="both"/>
        <w:rPr>
          <w:rFonts w:hint="eastAsia" w:ascii="宋体" w:hAnsi="宋体" w:eastAsia="宋体" w:cs="宋体"/>
          <w:b/>
          <w:kern w:val="28"/>
          <w:sz w:val="36"/>
          <w:szCs w:val="36"/>
          <w:lang w:val="en-US" w:eastAsia="zh-CN"/>
        </w:rPr>
      </w:pPr>
    </w:p>
    <w:sectPr>
      <w:pgSz w:w="11906" w:h="16838"/>
      <w:pgMar w:top="1434" w:right="1474" w:bottom="143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F39E6"/>
    <w:rsid w:val="01063563"/>
    <w:rsid w:val="01265BCF"/>
    <w:rsid w:val="0156352C"/>
    <w:rsid w:val="0300386E"/>
    <w:rsid w:val="03FA2051"/>
    <w:rsid w:val="040A7A68"/>
    <w:rsid w:val="04217649"/>
    <w:rsid w:val="05560FAF"/>
    <w:rsid w:val="057B0AD9"/>
    <w:rsid w:val="05FB4912"/>
    <w:rsid w:val="06792BD0"/>
    <w:rsid w:val="073343FB"/>
    <w:rsid w:val="07BE1C5C"/>
    <w:rsid w:val="086C231A"/>
    <w:rsid w:val="087551A1"/>
    <w:rsid w:val="08A93177"/>
    <w:rsid w:val="08D77C06"/>
    <w:rsid w:val="091701C6"/>
    <w:rsid w:val="09F157E9"/>
    <w:rsid w:val="0A5B080C"/>
    <w:rsid w:val="0ADA6A52"/>
    <w:rsid w:val="0AEC62F5"/>
    <w:rsid w:val="0CD24661"/>
    <w:rsid w:val="0D3C5E6E"/>
    <w:rsid w:val="0F4F30DB"/>
    <w:rsid w:val="0FE30C1D"/>
    <w:rsid w:val="101958FA"/>
    <w:rsid w:val="11483D68"/>
    <w:rsid w:val="114A40C9"/>
    <w:rsid w:val="1167027B"/>
    <w:rsid w:val="11B36778"/>
    <w:rsid w:val="11E4614E"/>
    <w:rsid w:val="123D4211"/>
    <w:rsid w:val="12E110C3"/>
    <w:rsid w:val="13DE4636"/>
    <w:rsid w:val="14145920"/>
    <w:rsid w:val="14265824"/>
    <w:rsid w:val="146E1044"/>
    <w:rsid w:val="14AF1479"/>
    <w:rsid w:val="14CD2110"/>
    <w:rsid w:val="14FC3F92"/>
    <w:rsid w:val="17976EC2"/>
    <w:rsid w:val="18976382"/>
    <w:rsid w:val="18D943D6"/>
    <w:rsid w:val="1A323AC2"/>
    <w:rsid w:val="1A496A08"/>
    <w:rsid w:val="1B823990"/>
    <w:rsid w:val="1C0E5966"/>
    <w:rsid w:val="1C3C6574"/>
    <w:rsid w:val="1DB9205A"/>
    <w:rsid w:val="204042B3"/>
    <w:rsid w:val="20E71C8B"/>
    <w:rsid w:val="20F828F5"/>
    <w:rsid w:val="210C12B4"/>
    <w:rsid w:val="21823BC9"/>
    <w:rsid w:val="21CD003A"/>
    <w:rsid w:val="21D40277"/>
    <w:rsid w:val="22F04025"/>
    <w:rsid w:val="23A820DF"/>
    <w:rsid w:val="25954206"/>
    <w:rsid w:val="27F44DCB"/>
    <w:rsid w:val="29AF6870"/>
    <w:rsid w:val="2A6423C2"/>
    <w:rsid w:val="2B170391"/>
    <w:rsid w:val="2BE5357A"/>
    <w:rsid w:val="2D1556A6"/>
    <w:rsid w:val="2F9B5393"/>
    <w:rsid w:val="30260541"/>
    <w:rsid w:val="310351F9"/>
    <w:rsid w:val="314F7CF8"/>
    <w:rsid w:val="31A51B46"/>
    <w:rsid w:val="31F0133A"/>
    <w:rsid w:val="32652B1A"/>
    <w:rsid w:val="32B463F5"/>
    <w:rsid w:val="32CF2C13"/>
    <w:rsid w:val="33DF0240"/>
    <w:rsid w:val="33ED7B40"/>
    <w:rsid w:val="340C10E0"/>
    <w:rsid w:val="34670DAC"/>
    <w:rsid w:val="34937D57"/>
    <w:rsid w:val="351754F0"/>
    <w:rsid w:val="35B70D26"/>
    <w:rsid w:val="360A255B"/>
    <w:rsid w:val="369532C2"/>
    <w:rsid w:val="36DF7544"/>
    <w:rsid w:val="373F0FF4"/>
    <w:rsid w:val="3764089B"/>
    <w:rsid w:val="37F30BBE"/>
    <w:rsid w:val="3845069F"/>
    <w:rsid w:val="38E85CE9"/>
    <w:rsid w:val="390153BC"/>
    <w:rsid w:val="39DD3AE3"/>
    <w:rsid w:val="3B040FCD"/>
    <w:rsid w:val="3B5E20BE"/>
    <w:rsid w:val="3B9371DB"/>
    <w:rsid w:val="3BF40D85"/>
    <w:rsid w:val="3CAA4150"/>
    <w:rsid w:val="3CBC0FEC"/>
    <w:rsid w:val="3CE34237"/>
    <w:rsid w:val="3DBC20A7"/>
    <w:rsid w:val="3DEC5575"/>
    <w:rsid w:val="3E0131B1"/>
    <w:rsid w:val="3E0C3561"/>
    <w:rsid w:val="3E307815"/>
    <w:rsid w:val="3E661D71"/>
    <w:rsid w:val="3F084100"/>
    <w:rsid w:val="3F9E20A8"/>
    <w:rsid w:val="3FC72DAE"/>
    <w:rsid w:val="3FF55E7C"/>
    <w:rsid w:val="40956AB9"/>
    <w:rsid w:val="41675D12"/>
    <w:rsid w:val="41B42F58"/>
    <w:rsid w:val="41B94E3B"/>
    <w:rsid w:val="42286406"/>
    <w:rsid w:val="428B3466"/>
    <w:rsid w:val="430707F9"/>
    <w:rsid w:val="44696EEF"/>
    <w:rsid w:val="450138B2"/>
    <w:rsid w:val="45173B67"/>
    <w:rsid w:val="45AE4A52"/>
    <w:rsid w:val="45D1463A"/>
    <w:rsid w:val="46E0403D"/>
    <w:rsid w:val="47D02F65"/>
    <w:rsid w:val="4814451A"/>
    <w:rsid w:val="496A1450"/>
    <w:rsid w:val="4A256485"/>
    <w:rsid w:val="4A6556A8"/>
    <w:rsid w:val="4AC705C3"/>
    <w:rsid w:val="4B607FF3"/>
    <w:rsid w:val="4BB63C87"/>
    <w:rsid w:val="4BB7606F"/>
    <w:rsid w:val="4BCA4964"/>
    <w:rsid w:val="4CA81067"/>
    <w:rsid w:val="4DE21B39"/>
    <w:rsid w:val="4F071F43"/>
    <w:rsid w:val="5012598F"/>
    <w:rsid w:val="50926F7D"/>
    <w:rsid w:val="50950AEC"/>
    <w:rsid w:val="5154455D"/>
    <w:rsid w:val="518F40CB"/>
    <w:rsid w:val="51A21D1E"/>
    <w:rsid w:val="51BB11A6"/>
    <w:rsid w:val="52E4668A"/>
    <w:rsid w:val="5309094E"/>
    <w:rsid w:val="530C3017"/>
    <w:rsid w:val="537B5AC6"/>
    <w:rsid w:val="53E0425F"/>
    <w:rsid w:val="541512FB"/>
    <w:rsid w:val="543712F0"/>
    <w:rsid w:val="5557610E"/>
    <w:rsid w:val="574B60D8"/>
    <w:rsid w:val="57766190"/>
    <w:rsid w:val="57D87FF6"/>
    <w:rsid w:val="57DD7189"/>
    <w:rsid w:val="57F8239A"/>
    <w:rsid w:val="59BD1F9D"/>
    <w:rsid w:val="5AE210D7"/>
    <w:rsid w:val="5B296730"/>
    <w:rsid w:val="5B9401F0"/>
    <w:rsid w:val="5B9B7F7D"/>
    <w:rsid w:val="5C3528CD"/>
    <w:rsid w:val="5C4371FC"/>
    <w:rsid w:val="5D377FF4"/>
    <w:rsid w:val="5E952569"/>
    <w:rsid w:val="5F2D4937"/>
    <w:rsid w:val="5F592EFB"/>
    <w:rsid w:val="5FBA1B9B"/>
    <w:rsid w:val="5FE35913"/>
    <w:rsid w:val="603E7BF6"/>
    <w:rsid w:val="607A0324"/>
    <w:rsid w:val="608B5D2F"/>
    <w:rsid w:val="60D72903"/>
    <w:rsid w:val="60D73A71"/>
    <w:rsid w:val="61F966C4"/>
    <w:rsid w:val="62063864"/>
    <w:rsid w:val="62F463BE"/>
    <w:rsid w:val="63301F64"/>
    <w:rsid w:val="63BC7023"/>
    <w:rsid w:val="658867FD"/>
    <w:rsid w:val="65AC15B0"/>
    <w:rsid w:val="66106ACE"/>
    <w:rsid w:val="67524CBB"/>
    <w:rsid w:val="67A65B19"/>
    <w:rsid w:val="67CE4ADF"/>
    <w:rsid w:val="69426A88"/>
    <w:rsid w:val="698702E5"/>
    <w:rsid w:val="69982A9A"/>
    <w:rsid w:val="6A150F4B"/>
    <w:rsid w:val="6A1C24C9"/>
    <w:rsid w:val="6B6A729D"/>
    <w:rsid w:val="6BB256BF"/>
    <w:rsid w:val="6CAE2D39"/>
    <w:rsid w:val="6D000BE0"/>
    <w:rsid w:val="6E3E0797"/>
    <w:rsid w:val="6EAF2073"/>
    <w:rsid w:val="6EDD4BBC"/>
    <w:rsid w:val="6EE44E74"/>
    <w:rsid w:val="6F6036CC"/>
    <w:rsid w:val="6FD521F2"/>
    <w:rsid w:val="6FE62449"/>
    <w:rsid w:val="6FF23135"/>
    <w:rsid w:val="70683D6E"/>
    <w:rsid w:val="70B433E5"/>
    <w:rsid w:val="70C04EEF"/>
    <w:rsid w:val="71BA6D5E"/>
    <w:rsid w:val="720C6CA8"/>
    <w:rsid w:val="72A92833"/>
    <w:rsid w:val="72FE3D78"/>
    <w:rsid w:val="747F0F51"/>
    <w:rsid w:val="754362CD"/>
    <w:rsid w:val="75EF16C8"/>
    <w:rsid w:val="768517FF"/>
    <w:rsid w:val="77B3762C"/>
    <w:rsid w:val="77E12415"/>
    <w:rsid w:val="78494DB6"/>
    <w:rsid w:val="78952C3D"/>
    <w:rsid w:val="78B543BC"/>
    <w:rsid w:val="78C45047"/>
    <w:rsid w:val="797B736B"/>
    <w:rsid w:val="7A0732C0"/>
    <w:rsid w:val="7A771B11"/>
    <w:rsid w:val="7A7A6229"/>
    <w:rsid w:val="7A8E0F2C"/>
    <w:rsid w:val="7AEB78DF"/>
    <w:rsid w:val="7B92770E"/>
    <w:rsid w:val="7C084C8A"/>
    <w:rsid w:val="7D5437E5"/>
    <w:rsid w:val="7D6464C5"/>
    <w:rsid w:val="7F233DE2"/>
    <w:rsid w:val="7F7516CF"/>
    <w:rsid w:val="7FA0502E"/>
    <w:rsid w:val="7FA10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index 8"/>
    <w:basedOn w:val="1"/>
    <w:next w:val="1"/>
    <w:qFormat/>
    <w:uiPriority w:val="0"/>
    <w:pPr>
      <w:ind w:left="1400" w:leftChars="1400"/>
    </w:pPr>
  </w:style>
  <w:style w:type="paragraph" w:styleId="6">
    <w:name w:val="Normal Indent"/>
    <w:basedOn w:val="1"/>
    <w:next w:val="5"/>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widowControl w:val="0"/>
      <w:spacing w:after="120" w:line="360" w:lineRule="auto"/>
      <w:jc w:val="both"/>
    </w:pPr>
    <w:rPr>
      <w:sz w:val="16"/>
      <w:szCs w:val="16"/>
    </w:rPr>
  </w:style>
  <w:style w:type="paragraph" w:styleId="9">
    <w:name w:val="Body Text"/>
    <w:basedOn w:val="1"/>
    <w:next w:val="1"/>
    <w:qFormat/>
    <w:uiPriority w:val="0"/>
    <w:pPr>
      <w:spacing w:after="120"/>
    </w:pPr>
    <w:rPr>
      <w:sz w:val="20"/>
    </w:rPr>
  </w:style>
  <w:style w:type="paragraph" w:styleId="10">
    <w:name w:val="Plain Text"/>
    <w:basedOn w:val="1"/>
    <w:next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next w:val="1"/>
    <w:qFormat/>
    <w:uiPriority w:val="0"/>
    <w:pPr>
      <w:tabs>
        <w:tab w:val="left" w:pos="3420"/>
      </w:tabs>
      <w:spacing w:line="480" w:lineRule="exact"/>
      <w:jc w:val="center"/>
    </w:pPr>
    <w:rPr>
      <w:rFonts w:ascii="宋体" w:hAnsi="Times New Roman" w:eastAsia="宋体" w:cs="Times New Roman"/>
      <w:b/>
      <w:bCs/>
      <w:sz w:val="24"/>
      <w:szCs w:val="24"/>
      <w:lang w:val="en-US" w:eastAsia="zh-CN" w:bidi="ar-SA"/>
    </w:rPr>
  </w:style>
  <w:style w:type="paragraph" w:styleId="14">
    <w:name w:val="Body Text Indent 3"/>
    <w:basedOn w:val="1"/>
    <w:qFormat/>
    <w:uiPriority w:val="0"/>
    <w:pPr>
      <w:widowControl w:val="0"/>
      <w:autoSpaceDE w:val="0"/>
      <w:autoSpaceDN w:val="0"/>
      <w:spacing w:before="0" w:after="120" w:line="240" w:lineRule="auto"/>
      <w:ind w:left="420" w:leftChars="200" w:right="0"/>
      <w:jc w:val="left"/>
    </w:pPr>
    <w:rPr>
      <w:rFonts w:ascii="宋体" w:hAnsi="宋体" w:eastAsia="宋体" w:cs="宋体"/>
      <w:sz w:val="16"/>
      <w:szCs w:val="16"/>
      <w:lang w:val="zh-CN" w:eastAsia="zh-CN" w:bidi="zh-CN"/>
    </w:rPr>
  </w:style>
  <w:style w:type="paragraph" w:styleId="1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qFormat/>
    <w:uiPriority w:val="0"/>
  </w:style>
  <w:style w:type="paragraph" w:customStyle="1" w:styleId="21">
    <w:name w:val="_Style 3"/>
    <w:next w:val="14"/>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 w:type="paragraph" w:customStyle="1" w:styleId="22">
    <w:name w:val="Table Paragraph"/>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customStyle="1" w:styleId="23">
    <w:name w:val="font11"/>
    <w:basedOn w:val="18"/>
    <w:qFormat/>
    <w:uiPriority w:val="0"/>
    <w:rPr>
      <w:rFonts w:hint="eastAsia" w:ascii="仿宋_GB2312" w:eastAsia="仿宋_GB2312" w:cs="仿宋_GB2312"/>
      <w:color w:val="000000"/>
      <w:sz w:val="24"/>
      <w:szCs w:val="24"/>
      <w:u w:val="none"/>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样式2"/>
    <w:basedOn w:val="1"/>
    <w:qFormat/>
    <w:uiPriority w:val="0"/>
    <w:pPr>
      <w:spacing w:line="300" w:lineRule="auto"/>
      <w:jc w:val="center"/>
      <w:outlineLvl w:val="0"/>
    </w:pPr>
    <w:rPr>
      <w:b/>
      <w:sz w:val="24"/>
      <w:szCs w:val="20"/>
    </w:rPr>
  </w:style>
  <w:style w:type="paragraph" w:styleId="26">
    <w:name w:val="List Paragraph"/>
    <w:basedOn w:val="1"/>
    <w:qFormat/>
    <w:uiPriority w:val="34"/>
    <w:pPr>
      <w:ind w:firstLine="420" w:firstLineChars="200"/>
    </w:pPr>
  </w:style>
  <w:style w:type="paragraph" w:customStyle="1" w:styleId="2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8">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34</Pages>
  <Words>20547</Words>
  <Characters>21790</Characters>
  <Lines>1</Lines>
  <Paragraphs>1</Paragraphs>
  <TotalTime>1</TotalTime>
  <ScaleCrop>false</ScaleCrop>
  <LinksUpToDate>false</LinksUpToDate>
  <CharactersWithSpaces>22152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2024-10-09T03:37:00Z</dcterms:created>
  <dc:creator>DXL2</dc:creator>
  <cp:lastModifiedBy>十一</cp:lastModifiedBy>
  <cp:lastPrinted>2025-07-21T07:58:00Z</cp:lastPrinted>
  <dcterms:modified xsi:type="dcterms:W3CDTF">2026-06-17T03:12:37Z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B913701AE7A74F13AAFEB75078571F7F</vt:lpwstr>
  </property>
  <property fmtid="{D5CDD505-2E9C-101B-9397-08002B2CF9AE}" pid="4" name="KSOTemplateDocerSaveRecord">
    <vt:lpwstr>eyJoZGlkIjoiYzk2NzUxMzcxNWJjNWNmMzgwMmNiYTc1M2U2YThlYjAifQ==</vt:lpwstr>
  </property>
</Properties>
</file>