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珠海市</w:t>
      </w:r>
      <w:r>
        <w:rPr>
          <w:rFonts w:hint="eastAsia" w:ascii="黑体" w:hAnsi="黑体" w:eastAsia="黑体" w:cs="黑体"/>
          <w:sz w:val="28"/>
          <w:szCs w:val="28"/>
          <w:lang w:eastAsia="zh-CN"/>
        </w:rPr>
        <w:t>香洲区第二人民医院2026年至2028年</w:t>
      </w:r>
      <w:r>
        <w:rPr>
          <w:rFonts w:hint="eastAsia" w:ascii="黑体" w:hAnsi="黑体" w:eastAsia="黑体" w:cs="黑体"/>
          <w:sz w:val="28"/>
          <w:szCs w:val="28"/>
          <w:lang w:val="en-US" w:eastAsia="zh-CN"/>
        </w:rPr>
        <w:t>医用织物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洗涤和配送服务采购项目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用户</w:t>
      </w:r>
      <w:r>
        <w:rPr>
          <w:rFonts w:hint="eastAsia" w:ascii="方正小标宋简体" w:hAnsi="方正小标宋简体" w:eastAsia="方正小标宋简体" w:cs="方正小标宋简体"/>
          <w:sz w:val="44"/>
          <w:szCs w:val="44"/>
          <w:lang w:eastAsia="zh-CN"/>
        </w:rPr>
        <w:t>需求书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一、项目概况</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firstLine="560" w:firstLineChars="200"/>
        <w:jc w:val="left"/>
        <w:textAlignment w:val="auto"/>
        <w:rPr>
          <w:rFonts w:hint="eastAsia" w:ascii="黑体" w:hAnsi="黑体" w:eastAsia="黑体" w:cs="黑体"/>
          <w:b w:val="0"/>
          <w:bCs w:val="0"/>
          <w:sz w:val="28"/>
          <w:szCs w:val="28"/>
          <w:lang w:val="en-US" w:eastAsia="zh-CN"/>
        </w:rPr>
      </w:pPr>
      <w:r>
        <w:rPr>
          <w:rFonts w:hint="eastAsia" w:ascii="仿宋" w:hAnsi="仿宋" w:eastAsia="仿宋" w:cs="仿宋"/>
          <w:b w:val="0"/>
          <w:bCs w:val="0"/>
          <w:sz w:val="28"/>
          <w:szCs w:val="28"/>
          <w:lang w:val="en-US" w:eastAsia="zh-CN"/>
        </w:rPr>
        <w:t>珠海市香洲区第二人民医院位于广东省珠海市香洲区南屏镇南泉路21号，是南屏科技生态城区域内唯一集医疗、教学、科研、预防、保健为一体的公立二级综合性医院，开放床位172张。以“院办院管”方式管辖南屏社区卫生服务中心（下设广昌社区卫生服务站、广生社区卫生服务站、东桥社区卫生服务站）。现拟采购一家年度服务商提供规范化、专业化、符合国家卫生标准的医用织物洗涤和配送服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二、服务概况</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0" w:leftChars="0" w:right="0" w:rightChars="0" w:firstLine="562"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sz w:val="28"/>
          <w:szCs w:val="28"/>
          <w:lang w:val="en-US" w:eastAsia="zh-CN"/>
        </w:rPr>
        <w:t>1.项目名称：</w:t>
      </w: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珠海市香洲区第二人民医院</w:t>
      </w: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2026年至2028年</w:t>
      </w: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医用织物洗涤和配送服务采购项目</w:t>
      </w:r>
    </w:p>
    <w:p>
      <w:pPr>
        <w:pStyle w:val="3"/>
        <w:keepNext w:val="0"/>
        <w:keepLines w:val="0"/>
        <w:pageBreakBefore w:val="0"/>
        <w:widowControl w:val="0"/>
        <w:kinsoku/>
        <w:wordWrap/>
        <w:overflowPunct/>
        <w:topLinePunct w:val="0"/>
        <w:autoSpaceDE/>
        <w:autoSpaceDN/>
        <w:bidi w:val="0"/>
        <w:adjustRightInd/>
        <w:snapToGrid/>
        <w:spacing w:after="0" w:line="500" w:lineRule="exact"/>
        <w:ind w:left="0" w:right="0" w:rightChars="0" w:firstLine="562" w:firstLineChars="200"/>
        <w:textAlignment w:val="auto"/>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spacing w:val="0"/>
          <w:kern w:val="2"/>
          <w:sz w:val="28"/>
          <w:szCs w:val="28"/>
          <w:lang w:val="en-US" w:eastAsia="zh-CN" w:bidi="ar-SA"/>
        </w:rPr>
        <w:t>2.项目编号：</w:t>
      </w: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HQDY2026007</w:t>
      </w:r>
    </w:p>
    <w:p>
      <w:pPr>
        <w:pStyle w:val="3"/>
        <w:keepNext w:val="0"/>
        <w:keepLines w:val="0"/>
        <w:pageBreakBefore w:val="0"/>
        <w:widowControl w:val="0"/>
        <w:kinsoku/>
        <w:wordWrap/>
        <w:overflowPunct/>
        <w:topLinePunct w:val="0"/>
        <w:autoSpaceDE/>
        <w:autoSpaceDN/>
        <w:bidi w:val="0"/>
        <w:adjustRightInd/>
        <w:snapToGrid/>
        <w:spacing w:after="0" w:line="500" w:lineRule="exact"/>
        <w:ind w:left="0" w:right="0" w:rightChars="0" w:firstLine="562" w:firstLineChars="200"/>
        <w:textAlignment w:val="auto"/>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3.项目估算：</w:t>
      </w:r>
      <w:r>
        <w:rPr>
          <w:rFonts w:hint="eastAsia" w:ascii="仿宋" w:hAnsi="仿宋" w:eastAsia="仿宋" w:cs="仿宋"/>
          <w:sz w:val="28"/>
          <w:szCs w:val="28"/>
          <w:lang w:val="en-US" w:eastAsia="zh-CN"/>
        </w:rPr>
        <w:t>491000</w:t>
      </w:r>
      <w:r>
        <w:rPr>
          <w:rFonts w:hint="eastAsia" w:ascii="仿宋" w:hAnsi="仿宋" w:eastAsia="仿宋" w:cs="仿宋"/>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62" w:firstLineChars="200"/>
        <w:textAlignment w:val="auto"/>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bCs/>
          <w:sz w:val="28"/>
          <w:szCs w:val="28"/>
          <w:lang w:val="en-US" w:eastAsia="zh-CN"/>
        </w:rPr>
        <w:t>4.服务期限：</w:t>
      </w: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自合同生效之日起2年或累计服务总金额达到采购预算为止，以两者先到者为准。每个月履约结束后，采购人对中标供应商开展月度履约考核。考核不合格的，采购人有权终止合同。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00" w:lineRule="exact"/>
        <w:ind w:left="0" w:leftChars="0" w:right="0" w:rightChars="0" w:firstLine="562" w:firstLineChars="200"/>
        <w:jc w:val="both"/>
        <w:textAlignment w:val="auto"/>
        <w:rPr>
          <w:rFonts w:hint="eastAsia" w:ascii="仿宋" w:hAnsi="仿宋" w:eastAsia="仿宋" w:cs="仿宋"/>
          <w:kern w:val="2"/>
          <w:sz w:val="28"/>
          <w:szCs w:val="28"/>
          <w:lang w:val="en-US" w:eastAsia="zh-CN" w:bidi="ar-SA"/>
        </w:rPr>
      </w:pPr>
      <w:r>
        <w:rPr>
          <w:rFonts w:hint="eastAsia" w:ascii="宋体" w:hAnsi="宋体" w:eastAsia="宋体" w:cs="宋体"/>
          <w:b/>
          <w:bCs/>
          <w:kern w:val="2"/>
          <w:sz w:val="28"/>
          <w:szCs w:val="28"/>
          <w:lang w:val="en-US" w:eastAsia="zh-CN" w:bidi="ar-SA"/>
        </w:rPr>
        <w:t>5.服务地点：</w:t>
      </w:r>
      <w:r>
        <w:rPr>
          <w:rFonts w:hint="eastAsia" w:ascii="仿宋" w:hAnsi="仿宋" w:eastAsia="仿宋" w:cs="仿宋"/>
          <w:kern w:val="2"/>
          <w:sz w:val="28"/>
          <w:szCs w:val="28"/>
          <w:lang w:val="en-US" w:eastAsia="zh-CN" w:bidi="ar-SA"/>
        </w:rPr>
        <w:t>珠海市香洲区第二人民医院或采购人指定地点。</w:t>
      </w:r>
    </w:p>
    <w:p>
      <w:pPr>
        <w:keepNext w:val="0"/>
        <w:keepLines w:val="0"/>
        <w:pageBreakBefore w:val="0"/>
        <w:widowControl w:val="0"/>
        <w:kinsoku/>
        <w:wordWrap/>
        <w:overflowPunct/>
        <w:topLinePunct w:val="0"/>
        <w:autoSpaceDE/>
        <w:autoSpaceDN/>
        <w:bidi w:val="0"/>
        <w:adjustRightInd/>
        <w:snapToGrid/>
        <w:spacing w:after="0" w:line="520" w:lineRule="exact"/>
        <w:ind w:left="0"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三</w:t>
      </w:r>
      <w:r>
        <w:rPr>
          <w:rFonts w:hint="eastAsia" w:ascii="黑体" w:hAnsi="黑体" w:eastAsia="黑体" w:cs="黑体"/>
          <w:sz w:val="28"/>
          <w:szCs w:val="28"/>
          <w:highlight w:val="none"/>
        </w:rPr>
        <w:t>、供应商资质要求</w:t>
      </w:r>
    </w:p>
    <w:p>
      <w:pPr>
        <w:keepNext w:val="0"/>
        <w:keepLines w:val="0"/>
        <w:pageBreakBefore w:val="0"/>
        <w:widowControl w:val="0"/>
        <w:kinsoku/>
        <w:wordWrap/>
        <w:overflowPunct/>
        <w:topLinePunct w:val="0"/>
        <w:autoSpaceDE/>
        <w:autoSpaceDN/>
        <w:bidi w:val="0"/>
        <w:adjustRightInd/>
        <w:snapToGrid/>
        <w:spacing w:after="0" w:line="52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after="0" w:line="520" w:lineRule="exact"/>
        <w:ind w:left="0" w:firstLine="560" w:firstLineChars="200"/>
        <w:textAlignment w:val="auto"/>
        <w:rPr>
          <w:rFonts w:hint="eastAsia" w:ascii="仿宋" w:hAnsi="仿宋" w:eastAsia="仿宋" w:cs="仿宋"/>
          <w:i w:val="0"/>
          <w:iCs w:val="0"/>
          <w:caps w:val="0"/>
          <w:spacing w:val="0"/>
          <w:sz w:val="28"/>
          <w:szCs w:val="28"/>
          <w:highlight w:val="none"/>
          <w:shd w:val="clear"/>
          <w:lang w:val="en-US" w:eastAsia="zh-CN"/>
        </w:rPr>
      </w:pPr>
      <w:r>
        <w:rPr>
          <w:rFonts w:hint="eastAsia" w:ascii="仿宋" w:hAnsi="仿宋" w:eastAsia="仿宋" w:cs="仿宋"/>
          <w:i w:val="0"/>
          <w:iCs w:val="0"/>
          <w:caps w:val="0"/>
          <w:spacing w:val="0"/>
          <w:sz w:val="28"/>
          <w:szCs w:val="28"/>
          <w:highlight w:val="none"/>
          <w:shd w:val="clear"/>
          <w:lang w:val="en-US" w:eastAsia="zh-CN"/>
        </w:rPr>
        <w:t>2.供应商须是在中华人民共和国境内注册的具有独立承担民事责任能力的法人或其他组织，提交企业法人营业执照或事业单位法人证书的复印件；非法定代表人参加报名的，则须同时提交法定代表人的授权委托书及法人、被授权人的身份证正反面复印件。</w:t>
      </w:r>
    </w:p>
    <w:p>
      <w:pPr>
        <w:keepNext w:val="0"/>
        <w:keepLines w:val="0"/>
        <w:pageBreakBefore w:val="0"/>
        <w:widowControl w:val="0"/>
        <w:kinsoku/>
        <w:wordWrap/>
        <w:overflowPunct/>
        <w:topLinePunct w:val="0"/>
        <w:autoSpaceDE/>
        <w:autoSpaceDN/>
        <w:bidi w:val="0"/>
        <w:adjustRightInd/>
        <w:snapToGrid/>
        <w:spacing w:after="0" w:line="520" w:lineRule="exact"/>
        <w:ind w:left="0" w:firstLine="560" w:firstLineChars="200"/>
        <w:textAlignment w:val="auto"/>
        <w:rPr>
          <w:rFonts w:hint="eastAsia" w:ascii="仿宋" w:hAnsi="仿宋" w:eastAsia="仿宋" w:cs="仿宋"/>
          <w:i w:val="0"/>
          <w:iCs w:val="0"/>
          <w:caps w:val="0"/>
          <w:spacing w:val="0"/>
          <w:sz w:val="28"/>
          <w:szCs w:val="28"/>
          <w:highlight w:val="none"/>
          <w:shd w:val="clear"/>
          <w:lang w:val="en-US" w:eastAsia="zh-CN"/>
        </w:rPr>
      </w:pPr>
      <w:r>
        <w:rPr>
          <w:rFonts w:hint="eastAsia" w:ascii="仿宋" w:hAnsi="仿宋" w:eastAsia="仿宋" w:cs="仿宋"/>
          <w:i w:val="0"/>
          <w:iCs w:val="0"/>
          <w:caps w:val="0"/>
          <w:spacing w:val="0"/>
          <w:sz w:val="28"/>
          <w:szCs w:val="28"/>
          <w:highlight w:val="none"/>
          <w:shd w:val="clear"/>
          <w:lang w:val="en-US" w:eastAsia="zh-CN"/>
        </w:rPr>
        <w:t>3.落实政府采购政策需满足的资格要求：无。本项目不专门面向中小企业采购项目。</w:t>
      </w:r>
    </w:p>
    <w:p>
      <w:pPr>
        <w:keepNext w:val="0"/>
        <w:keepLines w:val="0"/>
        <w:pageBreakBefore w:val="0"/>
        <w:widowControl w:val="0"/>
        <w:kinsoku/>
        <w:wordWrap/>
        <w:overflowPunct/>
        <w:topLinePunct w:val="0"/>
        <w:autoSpaceDE/>
        <w:autoSpaceDN/>
        <w:bidi w:val="0"/>
        <w:adjustRightInd/>
        <w:snapToGrid/>
        <w:spacing w:after="0" w:line="520" w:lineRule="exact"/>
        <w:ind w:left="0" w:firstLine="560" w:firstLineChars="200"/>
        <w:textAlignment w:val="auto"/>
        <w:rPr>
          <w:rFonts w:hint="eastAsia" w:ascii="仿宋" w:hAnsi="仿宋" w:eastAsia="仿宋" w:cs="仿宋"/>
          <w:i w:val="0"/>
          <w:iCs w:val="0"/>
          <w:caps w:val="0"/>
          <w:spacing w:val="0"/>
          <w:sz w:val="28"/>
          <w:szCs w:val="28"/>
          <w:highlight w:val="none"/>
          <w:shd w:val="clear"/>
          <w:lang w:val="en-US" w:eastAsia="zh-CN"/>
        </w:rPr>
      </w:pPr>
      <w:r>
        <w:rPr>
          <w:rFonts w:hint="eastAsia" w:ascii="仿宋" w:hAnsi="仿宋" w:eastAsia="仿宋" w:cs="仿宋"/>
          <w:i w:val="0"/>
          <w:iCs w:val="0"/>
          <w:caps w:val="0"/>
          <w:spacing w:val="0"/>
          <w:sz w:val="28"/>
          <w:szCs w:val="28"/>
          <w:highlight w:val="none"/>
          <w:shd w:val="clear"/>
          <w:lang w:val="en-US" w:eastAsia="zh-CN"/>
        </w:rPr>
        <w:t>4.本项目的特定资格要求：</w:t>
      </w:r>
    </w:p>
    <w:p>
      <w:pPr>
        <w:keepNext w:val="0"/>
        <w:keepLines w:val="0"/>
        <w:pageBreakBefore w:val="0"/>
        <w:widowControl w:val="0"/>
        <w:kinsoku/>
        <w:wordWrap/>
        <w:overflowPunct/>
        <w:topLinePunct w:val="0"/>
        <w:autoSpaceDE/>
        <w:autoSpaceDN/>
        <w:bidi w:val="0"/>
        <w:adjustRightInd/>
        <w:snapToGrid/>
        <w:spacing w:after="0" w:line="520" w:lineRule="exact"/>
        <w:ind w:left="0" w:firstLine="560" w:firstLineChars="200"/>
        <w:textAlignment w:val="auto"/>
        <w:rPr>
          <w:rFonts w:hint="eastAsia" w:ascii="仿宋" w:hAnsi="仿宋" w:eastAsia="仿宋" w:cs="仿宋"/>
          <w:i w:val="0"/>
          <w:iCs w:val="0"/>
          <w:caps w:val="0"/>
          <w:spacing w:val="0"/>
          <w:sz w:val="28"/>
          <w:szCs w:val="28"/>
          <w:highlight w:val="none"/>
          <w:shd w:val="clear"/>
          <w:lang w:val="en-US" w:eastAsia="zh-CN"/>
        </w:rPr>
      </w:pPr>
      <w:r>
        <w:rPr>
          <w:rFonts w:hint="eastAsia" w:ascii="仿宋" w:hAnsi="仿宋" w:eastAsia="仿宋" w:cs="仿宋"/>
          <w:i w:val="0"/>
          <w:iCs w:val="0"/>
          <w:caps w:val="0"/>
          <w:spacing w:val="0"/>
          <w:sz w:val="28"/>
          <w:szCs w:val="28"/>
          <w:highlight w:val="none"/>
          <w:shd w:val="clear"/>
          <w:lang w:val="en-US" w:eastAsia="zh-CN"/>
        </w:rPr>
        <w:t>（1）供应商未列入</w:t>
      </w:r>
      <w:r>
        <w:rPr>
          <w:rFonts w:hint="eastAsia" w:ascii="仿宋" w:hAnsi="仿宋" w:eastAsia="仿宋" w:cs="仿宋"/>
          <w:b w:val="0"/>
          <w:bCs w:val="0"/>
          <w:sz w:val="28"/>
          <w:szCs w:val="28"/>
          <w:highlight w:val="none"/>
          <w:lang w:val="en-US" w:eastAsia="zh-CN"/>
        </w:rPr>
        <w:t>“信用中国”网站中“记录失信被执行人或重大税收违法案件当事人名单或政府采购严重违法失信行为”的记录名单；不处于“中国政府采购网”中“政府采购严重违法失信行为信息记录”的禁止参加政府采购活动期间失信被执行人、重大税收违法案件当事人名单、政府采购严重违法失信行为记录名单（以采购人或供应商提供的在“信用中国”网站</w:t>
      </w:r>
      <w:r>
        <w:rPr>
          <w:rFonts w:hint="default" w:ascii="Times New Roman" w:hAnsi="Times New Roman" w:eastAsia="仿宋" w:cs="Times New Roman"/>
          <w:b w:val="0"/>
          <w:bCs w:val="0"/>
          <w:sz w:val="28"/>
          <w:szCs w:val="28"/>
          <w:highlight w:val="none"/>
          <w:lang w:val="en-US" w:eastAsia="zh-CN"/>
        </w:rPr>
        <w:t>（www.creditchina.gov.cn）</w:t>
      </w:r>
      <w:r>
        <w:rPr>
          <w:rFonts w:hint="eastAsia" w:ascii="仿宋" w:hAnsi="仿宋" w:eastAsia="仿宋" w:cs="仿宋"/>
          <w:b w:val="0"/>
          <w:bCs w:val="0"/>
          <w:sz w:val="28"/>
          <w:szCs w:val="28"/>
          <w:highlight w:val="none"/>
          <w:lang w:val="en-US" w:eastAsia="zh-CN"/>
        </w:rPr>
        <w:t>及中国政府采购网</w:t>
      </w:r>
      <w:r>
        <w:rPr>
          <w:rFonts w:hint="default" w:ascii="Times New Roman" w:hAnsi="Times New Roman" w:eastAsia="仿宋" w:cs="Times New Roman"/>
          <w:b w:val="0"/>
          <w:bCs w:val="0"/>
          <w:sz w:val="28"/>
          <w:szCs w:val="28"/>
          <w:highlight w:val="none"/>
          <w:lang w:val="en-US" w:eastAsia="zh-CN"/>
        </w:rPr>
        <w:t>（www.ccgp.gov.cn）</w:t>
      </w:r>
      <w:r>
        <w:rPr>
          <w:rFonts w:hint="eastAsia" w:ascii="仿宋" w:hAnsi="仿宋" w:eastAsia="仿宋" w:cs="仿宋"/>
          <w:b w:val="0"/>
          <w:bCs w:val="0"/>
          <w:sz w:val="28"/>
          <w:szCs w:val="28"/>
          <w:highlight w:val="none"/>
          <w:lang w:val="en-US" w:eastAsia="zh-CN"/>
        </w:rPr>
        <w:t>查询结果为准。</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（2）为采购项目提供整体设计、规范编制或者项目管理、造价、检测等服务的供应商，不得再参加该采购项目同一合同项下的其他采购活动。</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（3）单位负责人为同一人或者存在直接控股、管理关系的不同供应商，不得同时参加本同一合同项下的采购活动。</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（4）本项目不接受联合体投标，</w:t>
      </w:r>
      <w:r>
        <w:rPr>
          <w:rFonts w:hint="eastAsia" w:ascii="仿宋" w:hAnsi="仿宋" w:eastAsia="仿宋" w:cs="仿宋"/>
          <w:sz w:val="28"/>
          <w:szCs w:val="28"/>
          <w:highlight w:val="none"/>
        </w:rPr>
        <w:t>不允许分包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转包</w:t>
      </w:r>
      <w:r>
        <w:rPr>
          <w:rFonts w:hint="eastAsia" w:ascii="仿宋" w:hAnsi="仿宋" w:eastAsia="仿宋" w:cs="仿宋"/>
          <w:i w:val="0"/>
          <w:iCs w:val="0"/>
          <w:caps w:val="0"/>
          <w:spacing w:val="0"/>
          <w:kern w:val="2"/>
          <w:sz w:val="28"/>
          <w:szCs w:val="28"/>
          <w:highlight w:val="none"/>
          <w:shd w:val="clear"/>
          <w:vertAlign w:val="baseline"/>
          <w:lang w:val="en-US" w:eastAsia="zh-CN" w:bidi="ar"/>
        </w:rPr>
        <w:t>。</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5）投标人须具有环保部门颁发的有效期内的《排污许可证》或已在全国排污许可证管理信息平台申请填报排污登记，或已取得《固定污染源排污登记》或《固定污染源排污登记回执》（提供证明材料复印件并加盖投标人公章）。</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（6）投标人须具有有效期内的《城镇污水排入排水管网许可证》（提供许可证复印件并加盖投标人公章）。</w:t>
      </w:r>
    </w:p>
    <w:p>
      <w:pPr>
        <w:keepNext w:val="0"/>
        <w:keepLines w:val="0"/>
        <w:pageBreakBefore w:val="0"/>
        <w:widowControl w:val="0"/>
        <w:kinsoku/>
        <w:wordWrap/>
        <w:overflowPunct/>
        <w:topLinePunct w:val="0"/>
        <w:autoSpaceDE/>
        <w:autoSpaceDN/>
        <w:bidi w:val="0"/>
        <w:adjustRightInd/>
        <w:snapToGrid/>
        <w:spacing w:after="0" w:line="520" w:lineRule="exact"/>
        <w:ind w:left="0"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四、服务内容</w:t>
      </w:r>
    </w:p>
    <w:p>
      <w:pPr>
        <w:keepNext w:val="0"/>
        <w:keepLines w:val="0"/>
        <w:pageBreakBefore w:val="0"/>
        <w:widowControl w:val="0"/>
        <w:kinsoku/>
        <w:wordWrap/>
        <w:overflowPunct/>
        <w:topLinePunct w:val="0"/>
        <w:autoSpaceDE/>
        <w:autoSpaceDN/>
        <w:bidi w:val="0"/>
        <w:adjustRightInd/>
        <w:snapToGrid/>
        <w:spacing w:after="0" w:line="520" w:lineRule="exact"/>
        <w:ind w:lef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1.提供采购人医疗活动范围内的所有医用织物洗涤、回收和配送服务(医用织物包括但不限于工作人员工作服、值班被服、病人被服、传染病人被服、手术室布类用品、供应室布类用品、被褥、毛毯、窗帘等)。</w:t>
      </w:r>
    </w:p>
    <w:p>
      <w:pPr>
        <w:keepNext w:val="0"/>
        <w:keepLines w:val="0"/>
        <w:pageBreakBefore w:val="0"/>
        <w:widowControl w:val="0"/>
        <w:kinsoku/>
        <w:wordWrap/>
        <w:overflowPunct/>
        <w:topLinePunct w:val="0"/>
        <w:autoSpaceDE/>
        <w:autoSpaceDN/>
        <w:bidi w:val="0"/>
        <w:adjustRightInd/>
        <w:snapToGrid/>
        <w:spacing w:after="0" w:line="520" w:lineRule="exact"/>
        <w:ind w:lef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2.洗涤污垢效果达到国家卫健委规定的医用织物洗涤相关标准(污垢包括但不限于人体污渍、血渍、食物油渍、尿垢、粪便、药渍等各种污渍)。</w:t>
      </w:r>
    </w:p>
    <w:p>
      <w:pPr>
        <w:keepNext w:val="0"/>
        <w:keepLines w:val="0"/>
        <w:pageBreakBefore w:val="0"/>
        <w:widowControl w:val="0"/>
        <w:kinsoku/>
        <w:wordWrap/>
        <w:overflowPunct/>
        <w:topLinePunct w:val="0"/>
        <w:autoSpaceDE/>
        <w:autoSpaceDN/>
        <w:bidi w:val="0"/>
        <w:adjustRightInd/>
        <w:snapToGrid/>
        <w:spacing w:after="0" w:line="520" w:lineRule="exact"/>
        <w:ind w:lef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3.医用织物须按规定时间实行每日收送制(收污衣、送洁衣)，当日收取的医用织物须于次日送达。如遇特殊情况，根据医院的需求指令，供应商应给予协助并及时提供洗涤与收送等相关服务。</w:t>
      </w:r>
    </w:p>
    <w:p>
      <w:pPr>
        <w:keepNext w:val="0"/>
        <w:keepLines w:val="0"/>
        <w:pageBreakBefore w:val="0"/>
        <w:widowControl w:val="0"/>
        <w:kinsoku/>
        <w:wordWrap/>
        <w:overflowPunct/>
        <w:topLinePunct w:val="0"/>
        <w:autoSpaceDE/>
        <w:autoSpaceDN/>
        <w:bidi w:val="0"/>
        <w:adjustRightInd/>
        <w:snapToGrid/>
        <w:spacing w:after="0" w:line="520" w:lineRule="exact"/>
        <w:ind w:lef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4.医用织物收送时间：上午9点半前送收，采购人洗衣房工作人员与供应商各派出1名代表负责对接验收，双方确认品种、数量并签收。</w:t>
      </w:r>
    </w:p>
    <w:p>
      <w:pPr>
        <w:keepNext w:val="0"/>
        <w:keepLines w:val="0"/>
        <w:pageBreakBefore w:val="0"/>
        <w:widowControl w:val="0"/>
        <w:kinsoku/>
        <w:wordWrap/>
        <w:overflowPunct/>
        <w:topLinePunct w:val="0"/>
        <w:autoSpaceDE/>
        <w:autoSpaceDN/>
        <w:bidi w:val="0"/>
        <w:adjustRightInd/>
        <w:snapToGrid/>
        <w:spacing w:after="0" w:line="520" w:lineRule="exact"/>
        <w:ind w:left="0"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五、服务要求</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1.严格遵守国家卫健委颁布的《医院医用织物洗涤消毒技术规范》，严格执行《污染区消毒制度》《半污染区消毒制度》《清洁区消毒制度》《污水处理排放制度》等行业规范;</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2.需保证洗涤医用织物品质并做到破损医用织物及时修整、缝补。保障医院所有医用织物洗涤干净，叠放整齐，医务人员白大褂应熨烫平整并运送至医院指定地点;</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3.干净医用织物与污染医用织物须严格分区域放置，医务人员医用织物应与患者医用织物须严格分区域放置;</w:t>
      </w:r>
    </w:p>
    <w:p>
      <w:pPr>
        <w:spacing w:line="52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4.使用过的医用织物应及时分拣、洗涤。被血液或其他体液严重污染的医用织物必须进行污染物处理后再进行清洗</w:t>
      </w:r>
      <w:r>
        <w:rPr>
          <w:rFonts w:hint="eastAsia" w:ascii="仿宋" w:hAnsi="仿宋" w:eastAsia="仿宋" w:cs="仿宋"/>
          <w:sz w:val="28"/>
          <w:szCs w:val="28"/>
          <w:highlight w:val="none"/>
          <w:lang w:eastAsia="zh-CN"/>
        </w:rPr>
        <w:t>。</w:t>
      </w:r>
    </w:p>
    <w:p>
      <w:pPr>
        <w:spacing w:line="52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5.供应商按规范要求对医用织物进行分拣、洗涤、消毒等洗涤程序</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医务人员的白大褂、制服、被服应严格与患者的病服及被服分开洗涤。了解各种衣物、被服的面料、质地，根据不同面料、不同质地，采用不同的洗涤材料、洗涤工艺清洗，保证被服及衣物的洗涤效果和耐用</w:t>
      </w:r>
      <w:r>
        <w:rPr>
          <w:rFonts w:hint="eastAsia" w:ascii="仿宋" w:hAnsi="仿宋" w:eastAsia="仿宋" w:cs="仿宋"/>
          <w:sz w:val="28"/>
          <w:szCs w:val="28"/>
          <w:highlight w:val="none"/>
          <w:lang w:eastAsia="zh-CN"/>
        </w:rPr>
        <w:t>。</w:t>
      </w:r>
    </w:p>
    <w:p>
      <w:pPr>
        <w:spacing w:line="52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6.按时、按量、保证质量完成医院交给的洗涤与配送任务，若因供应商的缘故导致医用织物洗涤质量达不到正常卫生标准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或仍存在污渍未清洗干净的</w:t>
      </w:r>
      <w:r>
        <w:rPr>
          <w:rFonts w:hint="eastAsia" w:ascii="仿宋" w:hAnsi="仿宋" w:eastAsia="仿宋" w:cs="仿宋"/>
          <w:sz w:val="28"/>
          <w:szCs w:val="28"/>
          <w:highlight w:val="none"/>
        </w:rPr>
        <w:t>，影响医院医用织物使用和供应，医院于交接时提出并立即退回至供应商，供应商需免费回洗</w:t>
      </w:r>
      <w:r>
        <w:rPr>
          <w:rFonts w:hint="eastAsia" w:ascii="仿宋" w:hAnsi="仿宋" w:eastAsia="仿宋" w:cs="仿宋"/>
          <w:sz w:val="28"/>
          <w:szCs w:val="28"/>
          <w:highlight w:val="none"/>
          <w:lang w:val="en-US" w:eastAsia="zh-CN"/>
        </w:rPr>
        <w:t>至达标为止，</w:t>
      </w:r>
      <w:r>
        <w:rPr>
          <w:rFonts w:hint="eastAsia" w:ascii="仿宋" w:hAnsi="仿宋" w:eastAsia="仿宋" w:cs="仿宋"/>
          <w:sz w:val="28"/>
          <w:szCs w:val="28"/>
          <w:highlight w:val="none"/>
        </w:rPr>
        <w:t>并填写返洗单，双方确认签名，次日送洁衣时一并送回</w:t>
      </w:r>
      <w:r>
        <w:rPr>
          <w:rFonts w:hint="eastAsia" w:ascii="仿宋" w:hAnsi="仿宋" w:eastAsia="仿宋" w:cs="仿宋"/>
          <w:sz w:val="28"/>
          <w:szCs w:val="28"/>
          <w:highlight w:val="none"/>
          <w:lang w:eastAsia="zh-CN"/>
        </w:rPr>
        <w:t>。</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7.供应商每季度向医院提供</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第三方单位出具的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衣物布草微生物检测报告复印件加盖公章(原件备查);供应商每天应对医用织物进行pH值抽查检测，对</w:t>
      </w:r>
      <w:r>
        <w:rPr>
          <w:rFonts w:hint="eastAsia" w:ascii="仿宋" w:hAnsi="仿宋" w:eastAsia="仿宋" w:cs="仿宋"/>
          <w:sz w:val="28"/>
          <w:szCs w:val="28"/>
          <w:highlight w:val="none"/>
          <w:lang w:val="en-US" w:eastAsia="zh-CN"/>
        </w:rPr>
        <w:t>医</w:t>
      </w:r>
      <w:r>
        <w:rPr>
          <w:rFonts w:hint="eastAsia" w:ascii="仿宋" w:hAnsi="仿宋" w:eastAsia="仿宋" w:cs="仿宋"/>
          <w:sz w:val="28"/>
          <w:szCs w:val="28"/>
          <w:highlight w:val="none"/>
        </w:rPr>
        <w:t>用织物进行消毒剂浓度检测，确保达标，并做好记录，每月按医院要求提供实际医用织物洗涤数量清单，以备医院审核;</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8.医院交付洗涤的医用织物，供应商除洗干净、干燥、叠好、熨平外，还需对有破损或者无纽扣的衣物布草给予缝补、补丁、纽扣</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纽扣款式需保持一致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等修补工作。报废后的医用织物，交回医院或者经医院同意后交由供应商作缝补布料使用;</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9.供应商提供收送服务的工作人员应文明上岗，礼貌服务，医院相关部门或者管理小组如发现供应商的员工有不法行为，将报警处理;</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10.供应商严格遵守医院每日按时收送制(收污衣、送洁衣)的要求，不得有误，如遇天气、停水停电、工作设备故障或者其他不可预见的事件出现，供应商应及时与医院联系，以免影响医院的工作:</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11.对朊病毒、气性坏疽、突发不明原因、多重耐药等传染病的病原体或者其他有明确规定的传染病病原体污染的感染性织物，医院对感染类医用织物用密封袋作</w:t>
      </w:r>
      <w:r>
        <w:rPr>
          <w:rFonts w:hint="eastAsia" w:ascii="仿宋" w:hAnsi="仿宋" w:eastAsia="仿宋" w:cs="仿宋"/>
          <w:sz w:val="28"/>
          <w:szCs w:val="28"/>
          <w:highlight w:val="none"/>
        </w:rPr>
        <w:t>颜色或者明显标识。供应商按标识分类收集，按《医院医用织物洗涤消毒技术规范》等文件要求对传染类医用织物进行消毒洗涤;</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12,有疥疮患者使用过的医用织物或者医用织物上有</w:t>
      </w:r>
      <w:r>
        <w:rPr>
          <w:rFonts w:hint="eastAsia" w:ascii="仿宋" w:hAnsi="仿宋" w:eastAsia="仿宋" w:cs="仿宋"/>
          <w:sz w:val="28"/>
          <w:szCs w:val="28"/>
          <w:highlight w:val="none"/>
          <w:lang w:val="en-US" w:eastAsia="zh-CN"/>
        </w:rPr>
        <w:t>螨</w:t>
      </w:r>
      <w:r>
        <w:rPr>
          <w:rFonts w:hint="eastAsia" w:ascii="仿宋" w:hAnsi="仿宋" w:eastAsia="仿宋" w:cs="仿宋"/>
          <w:sz w:val="28"/>
          <w:szCs w:val="28"/>
          <w:highlight w:val="none"/>
        </w:rPr>
        <w:t>、虱、蚤等体外寄生虫时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按规范处置。对需复用的医用织物，医院对感染类医用织物用密封袋作颜色或者明显标识，并即刻通知供应商，供应商接到医院电话通知后，按《医院医用织物洗涤消毒技术规范》等文件要求对传染类医用织物进行消毒洗涤;</w:t>
      </w:r>
    </w:p>
    <w:p>
      <w:pPr>
        <w:numPr>
          <w:ilvl w:val="-1"/>
          <w:numId w:val="0"/>
        </w:num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传染类病人的医用织物，供应商收集时无需清点数目，按洗涤消毒后干净的数量为准，回收时需按照相关规范执行。</w:t>
      </w:r>
    </w:p>
    <w:p>
      <w:pPr>
        <w:numPr>
          <w:ilvl w:val="-1"/>
          <w:numId w:val="0"/>
        </w:numPr>
        <w:spacing w:line="52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普通医用织物需要清点种类、数量，回收织物数量要与送回织物数量一致。</w:t>
      </w:r>
    </w:p>
    <w:p>
      <w:pPr>
        <w:numPr>
          <w:ilvl w:val="-1"/>
          <w:numId w:val="0"/>
        </w:numPr>
        <w:spacing w:line="52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15.若在洗涤过程中丢失医院织物，经确认后，需按采购价赔偿丢失的织物，赔偿金额从次月洗涤费扣费。</w:t>
      </w:r>
    </w:p>
    <w:p>
      <w:pPr>
        <w:keepNext w:val="0"/>
        <w:keepLines w:val="0"/>
        <w:pageBreakBefore w:val="0"/>
        <w:numPr>
          <w:ilvl w:val="0"/>
          <w:numId w:val="1"/>
        </w:numPr>
        <w:kinsoku/>
        <w:wordWrap/>
        <w:overflowPunct/>
        <w:topLinePunct w:val="0"/>
        <w:autoSpaceDE/>
        <w:autoSpaceDN/>
        <w:bidi w:val="0"/>
        <w:adjustRightInd/>
        <w:snapToGrid/>
        <w:ind w:left="0" w:leftChars="0" w:firstLine="560" w:firstLineChars="200"/>
        <w:textAlignment w:val="auto"/>
        <w:rPr>
          <w:sz w:val="28"/>
          <w:szCs w:val="28"/>
        </w:rPr>
      </w:pPr>
      <w:r>
        <w:rPr>
          <w:sz w:val="28"/>
          <w:szCs w:val="28"/>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说明：参与供应商应提供法定代表人（或者负责人）身份证明复印件。</w:t>
      </w:r>
    </w:p>
    <w:tbl>
      <w:tblPr>
        <w:tblStyle w:val="6"/>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市场调研</w:t>
      </w:r>
      <w:r>
        <w:rPr>
          <w:rFonts w:hint="eastAsia" w:ascii="宋体" w:hAnsi="宋体" w:eastAsia="宋体" w:cs="Times New Roman"/>
          <w:bCs/>
          <w:sz w:val="21"/>
          <w:szCs w:val="21"/>
          <w:lang w:val="en-US" w:bidi="ar-SA"/>
        </w:rPr>
        <w:t>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说明：参与供应商应提供被授权人身份证明复印件。</w:t>
      </w:r>
    </w:p>
    <w:tbl>
      <w:tblPr>
        <w:tblStyle w:val="6"/>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widowControl w:val="0"/>
        <w:autoSpaceDE/>
        <w:autoSpaceDN/>
        <w:spacing w:before="0" w:after="0" w:line="312" w:lineRule="auto"/>
        <w:ind w:left="0" w:right="0"/>
        <w:jc w:val="center"/>
        <w:rPr>
          <w:rFonts w:hint="default"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信用查询结果截图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6"/>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669"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pPr>
        <w:rPr>
          <w:rFonts w:hint="eastAsia"/>
          <w:lang w:val="en-US" w:eastAsia="zh-CN"/>
        </w:rPr>
      </w:pPr>
    </w:p>
    <w:p>
      <w:pPr>
        <w:pStyle w:val="3"/>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widowControl w:val="0"/>
        <w:autoSpaceDE/>
        <w:autoSpaceDN/>
        <w:spacing w:before="0" w:after="0" w:line="312" w:lineRule="auto"/>
        <w:ind w:left="0" w:right="0"/>
        <w:jc w:val="center"/>
        <w:rPr>
          <w:rFonts w:hint="eastAsia" w:ascii="宋体" w:hAnsi="宋体" w:eastAsia="宋体" w:cs="Times New Roman"/>
          <w:b/>
          <w:kern w:val="0"/>
          <w:sz w:val="21"/>
          <w:szCs w:val="21"/>
          <w:lang w:val="en-US" w:bidi="ar-SA"/>
        </w:rPr>
      </w:pPr>
      <w:r>
        <w:rPr>
          <w:rFonts w:hint="eastAsia" w:ascii="宋体" w:hAnsi="宋体" w:eastAsia="宋体" w:cs="Times New Roman"/>
          <w:b/>
          <w:kern w:val="0"/>
          <w:sz w:val="21"/>
          <w:szCs w:val="21"/>
          <w:lang w:val="en-US" w:bidi="ar-SA"/>
        </w:rPr>
        <w:t>资格声明函</w:t>
      </w:r>
    </w:p>
    <w:p>
      <w:pPr>
        <w:widowControl/>
        <w:autoSpaceDE/>
        <w:autoSpaceDN/>
        <w:spacing w:before="0" w:after="0" w:line="312" w:lineRule="auto"/>
        <w:ind w:left="0" w:right="0"/>
        <w:jc w:val="left"/>
        <w:rPr>
          <w:rFonts w:ascii="宋体" w:hAnsi="宋体" w:eastAsia="宋体" w:cs="宋体"/>
          <w:kern w:val="0"/>
          <w:sz w:val="24"/>
          <w:szCs w:val="24"/>
          <w:lang w:val="en-US" w:bidi="ar-SA"/>
        </w:rPr>
      </w:pPr>
    </w:p>
    <w:p>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pPr>
        <w:pStyle w:val="3"/>
        <w:spacing w:line="312" w:lineRule="auto"/>
        <w:rPr>
          <w:lang w:val="en-US"/>
        </w:rPr>
      </w:pPr>
    </w:p>
    <w:p>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w:t>
      </w:r>
    </w:p>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珠海市香洲区第二人民医院2026年至2028年医用织物洗涤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和配送服务采购项目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报价表1（折扣率报价）</w:t>
      </w:r>
    </w:p>
    <w:p>
      <w:pPr>
        <w:pStyle w:val="2"/>
        <w:rPr>
          <w:rFonts w:hint="eastAsia" w:eastAsia="宋体"/>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5"/>
        <w:gridCol w:w="3131"/>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005" w:type="dxa"/>
            <w:shd w:val="clear" w:color="auto" w:fill="EEECE1"/>
            <w:noWrap w:val="0"/>
            <w:vAlign w:val="center"/>
          </w:tcPr>
          <w:p>
            <w:pPr>
              <w:widowControl/>
              <w:snapToGrid w:val="0"/>
              <w:spacing w:line="360" w:lineRule="auto"/>
              <w:ind w:right="-38" w:rightChars="-18"/>
              <w:jc w:val="center"/>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项目名称</w:t>
            </w:r>
          </w:p>
        </w:tc>
        <w:tc>
          <w:tcPr>
            <w:tcW w:w="3131" w:type="dxa"/>
            <w:shd w:val="clear" w:color="auto" w:fill="EEECE1"/>
            <w:noWrap w:val="0"/>
            <w:vAlign w:val="center"/>
          </w:tcPr>
          <w:p>
            <w:pPr>
              <w:widowControl/>
              <w:snapToGrid w:val="0"/>
              <w:spacing w:line="360" w:lineRule="auto"/>
              <w:ind w:right="-38" w:rightChars="-18"/>
              <w:jc w:val="center"/>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报价（</w:t>
            </w:r>
            <w:r>
              <w:rPr>
                <w:rFonts w:hint="eastAsia" w:ascii="宋体" w:hAnsi="宋体" w:eastAsia="宋体" w:cs="宋体"/>
                <w:color w:val="auto"/>
                <w:kern w:val="0"/>
                <w:szCs w:val="20"/>
                <w:highlight w:val="none"/>
                <w:lang w:val="en-US" w:eastAsia="zh-CN"/>
              </w:rPr>
              <w:t>%</w:t>
            </w:r>
            <w:r>
              <w:rPr>
                <w:rFonts w:hint="eastAsia" w:ascii="宋体" w:hAnsi="宋体" w:eastAsia="宋体" w:cs="宋体"/>
                <w:color w:val="auto"/>
                <w:kern w:val="0"/>
                <w:szCs w:val="20"/>
                <w:highlight w:val="none"/>
              </w:rPr>
              <w:t>）</w:t>
            </w:r>
          </w:p>
        </w:tc>
        <w:tc>
          <w:tcPr>
            <w:tcW w:w="3031" w:type="dxa"/>
            <w:shd w:val="clear" w:color="auto" w:fill="EEECE1"/>
            <w:noWrap w:val="0"/>
            <w:vAlign w:val="center"/>
          </w:tcPr>
          <w:p>
            <w:pPr>
              <w:widowControl/>
              <w:snapToGrid w:val="0"/>
              <w:spacing w:line="360" w:lineRule="auto"/>
              <w:ind w:right="-38" w:rightChars="-18"/>
              <w:jc w:val="center"/>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最高</w:t>
            </w:r>
            <w:r>
              <w:rPr>
                <w:rFonts w:hint="eastAsia" w:ascii="宋体" w:hAnsi="宋体" w:eastAsia="宋体" w:cs="宋体"/>
                <w:color w:val="auto"/>
                <w:kern w:val="0"/>
                <w:szCs w:val="20"/>
                <w:highlight w:val="none"/>
                <w:u w:val="single"/>
              </w:rPr>
              <w:t>限</w:t>
            </w:r>
            <w:r>
              <w:rPr>
                <w:rFonts w:hint="eastAsia" w:ascii="宋体" w:hAnsi="宋体" w:eastAsia="宋体" w:cs="宋体"/>
                <w:color w:val="auto"/>
                <w:kern w:val="0"/>
                <w:szCs w:val="20"/>
                <w:highlight w:val="none"/>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8" w:hRule="atLeast"/>
          <w:jc w:val="center"/>
        </w:trPr>
        <w:tc>
          <w:tcPr>
            <w:tcW w:w="3005" w:type="dxa"/>
            <w:noWrap w:val="0"/>
            <w:vAlign w:val="center"/>
          </w:tcPr>
          <w:p>
            <w:pPr>
              <w:widowControl/>
              <w:spacing w:line="360" w:lineRule="auto"/>
              <w:ind w:left="-94" w:leftChars="-45" w:right="-69" w:rightChars="-33"/>
              <w:jc w:val="center"/>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u w:val="single"/>
                <w:lang w:val="en-US" w:eastAsia="zh-CN"/>
              </w:rPr>
              <w:t>珠海市香洲区第二人民医院2026年至2028年医用织物洗涤和配送服务采购项目</w:t>
            </w:r>
          </w:p>
        </w:tc>
        <w:tc>
          <w:tcPr>
            <w:tcW w:w="3131" w:type="dxa"/>
            <w:noWrap w:val="0"/>
            <w:vAlign w:val="center"/>
          </w:tcPr>
          <w:p>
            <w:pPr>
              <w:widowControl/>
              <w:spacing w:line="360" w:lineRule="auto"/>
              <w:jc w:val="left"/>
              <w:rPr>
                <w:rFonts w:ascii="Times New Roman" w:hAnsi="宋体" w:eastAsia="宋体" w:cs="宋体"/>
                <w:color w:val="auto"/>
                <w:kern w:val="0"/>
                <w:szCs w:val="20"/>
                <w:highlight w:val="none"/>
                <w:u w:val="single"/>
              </w:rPr>
            </w:pPr>
            <w:r>
              <w:rPr>
                <w:rFonts w:hint="eastAsia" w:ascii="Times New Roman" w:hAnsi="宋体" w:eastAsia="宋体" w:cs="宋体"/>
                <w:color w:val="auto"/>
                <w:kern w:val="0"/>
                <w:szCs w:val="20"/>
                <w:highlight w:val="none"/>
                <w:u w:val="single"/>
              </w:rPr>
              <w:t>大写：</w:t>
            </w:r>
            <w:r>
              <w:rPr>
                <w:rFonts w:hint="eastAsia" w:ascii="Times New Roman" w:hAnsi="Times New Roman" w:eastAsia="宋体" w:cs="Times New Roman"/>
                <w:color w:val="auto"/>
                <w:kern w:val="0"/>
                <w:szCs w:val="21"/>
                <w:highlight w:val="none"/>
                <w:lang w:val="en-US" w:eastAsia="zh-CN"/>
              </w:rPr>
              <w:t>百分之</w:t>
            </w:r>
            <w:r>
              <w:rPr>
                <w:rFonts w:hint="eastAsia" w:ascii="Times New Roman" w:hAnsi="Times New Roman" w:eastAsia="宋体" w:cs="Times New Roman"/>
                <w:color w:val="auto"/>
                <w:kern w:val="0"/>
                <w:szCs w:val="21"/>
                <w:highlight w:val="none"/>
                <w:u w:val="single"/>
              </w:rPr>
              <w:t xml:space="preserve">      </w:t>
            </w:r>
          </w:p>
          <w:p>
            <w:pPr>
              <w:widowControl/>
              <w:spacing w:line="360" w:lineRule="auto"/>
              <w:jc w:val="left"/>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u w:val="single"/>
              </w:rPr>
              <w:t>小写：</w:t>
            </w:r>
            <w:r>
              <w:rPr>
                <w:rFonts w:hint="eastAsia" w:ascii="Times New Roman" w:hAnsi="Times New Roman" w:eastAsia="宋体" w:cs="Times New Roman"/>
                <w:color w:val="auto"/>
                <w:kern w:val="0"/>
                <w:szCs w:val="21"/>
                <w:highlight w:val="none"/>
                <w:u w:val="single"/>
              </w:rPr>
              <w:t xml:space="preserve">            </w:t>
            </w:r>
            <w:r>
              <w:rPr>
                <w:rFonts w:hint="eastAsia" w:ascii="宋体" w:hAnsi="宋体" w:eastAsia="宋体" w:cs="宋体"/>
                <w:kern w:val="2"/>
                <w:sz w:val="24"/>
                <w:szCs w:val="24"/>
                <w:lang w:val="en-US" w:eastAsia="zh-CN" w:bidi="ar"/>
              </w:rPr>
              <w:t>%</w:t>
            </w:r>
          </w:p>
        </w:tc>
        <w:tc>
          <w:tcPr>
            <w:tcW w:w="3031" w:type="dxa"/>
            <w:noWrap w:val="0"/>
            <w:vAlign w:val="center"/>
          </w:tcPr>
          <w:p>
            <w:pPr>
              <w:widowControl/>
              <w:spacing w:line="360" w:lineRule="auto"/>
              <w:jc w:val="left"/>
              <w:rPr>
                <w:rFonts w:ascii="宋体" w:hAnsi="宋体" w:eastAsia="宋体" w:cs="宋体"/>
                <w:color w:val="auto"/>
                <w:kern w:val="0"/>
                <w:szCs w:val="20"/>
                <w:highlight w:val="none"/>
                <w:u w:val="single"/>
              </w:rPr>
            </w:pPr>
            <w:r>
              <w:rPr>
                <w:rFonts w:hint="eastAsia" w:ascii="宋体" w:hAnsi="宋体" w:eastAsia="宋体" w:cs="宋体"/>
                <w:color w:val="auto"/>
                <w:kern w:val="0"/>
                <w:szCs w:val="20"/>
                <w:highlight w:val="none"/>
                <w:u w:val="single"/>
              </w:rPr>
              <w:t>本项目采用折扣率方式报价，0%≤折扣率≤100%。</w:t>
            </w:r>
          </w:p>
        </w:tc>
      </w:tr>
    </w:tbl>
    <w:p>
      <w:pPr>
        <w:pStyle w:val="2"/>
      </w:pPr>
    </w:p>
    <w:p>
      <w:pPr>
        <w:spacing w:after="120" w:line="360" w:lineRule="auto"/>
        <w:jc w:val="both"/>
        <w:rPr>
          <w:rFonts w:hint="eastAsia" w:ascii="宋体" w:hAnsi="宋体" w:cs="宋体"/>
          <w:lang w:val="en-US" w:eastAsia="zh-CN"/>
        </w:rPr>
      </w:pPr>
    </w:p>
    <w:p>
      <w:pPr>
        <w:spacing w:after="120" w:line="360" w:lineRule="auto"/>
        <w:jc w:val="both"/>
        <w:rPr>
          <w:rFonts w:hint="eastAsia" w:ascii="宋体" w:hAnsi="宋体" w:cs="宋体"/>
          <w:lang w:val="en-US" w:eastAsia="zh-CN"/>
        </w:rPr>
      </w:pPr>
    </w:p>
    <w:p>
      <w:pPr>
        <w:spacing w:after="120" w:line="360" w:lineRule="auto"/>
        <w:jc w:val="both"/>
        <w:rPr>
          <w:rFonts w:ascii="宋体" w:hAnsi="宋体" w:cs="宋体"/>
        </w:rPr>
      </w:pPr>
      <w:r>
        <w:rPr>
          <w:rFonts w:hint="eastAsia" w:ascii="宋体" w:hAnsi="宋体" w:cs="宋体"/>
          <w:lang w:val="en-US" w:eastAsia="zh-CN"/>
        </w:rPr>
        <w:t>报价单位</w:t>
      </w:r>
      <w:r>
        <w:rPr>
          <w:rFonts w:hint="eastAsia" w:ascii="宋体" w:hAnsi="宋体" w:cs="宋体"/>
        </w:rPr>
        <w:t xml:space="preserve">授权代表签字或签章：          </w:t>
      </w:r>
    </w:p>
    <w:p>
      <w:pPr>
        <w:spacing w:after="120" w:line="360" w:lineRule="auto"/>
        <w:jc w:val="both"/>
        <w:rPr>
          <w:rFonts w:ascii="宋体" w:hAnsi="宋体" w:cs="宋体"/>
        </w:rPr>
      </w:pPr>
      <w:r>
        <w:rPr>
          <w:rFonts w:hint="eastAsia" w:ascii="宋体" w:hAnsi="宋体" w:cs="宋体"/>
        </w:rPr>
        <w:t xml:space="preserve">报价单位名称（加盖公章）：                   </w:t>
      </w:r>
    </w:p>
    <w:p>
      <w:pPr>
        <w:spacing w:after="120" w:line="360" w:lineRule="auto"/>
        <w:jc w:val="both"/>
        <w:rPr>
          <w:rFonts w:ascii="宋体" w:hAnsi="宋体" w:cs="宋体"/>
          <w:b/>
          <w:bCs/>
        </w:rPr>
      </w:pPr>
      <w:r>
        <w:rPr>
          <w:rFonts w:hint="eastAsia" w:ascii="宋体" w:hAnsi="宋体" w:cs="宋体"/>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pPr>
      <w:r>
        <w:rPr>
          <w:rFonts w:hint="eastAsia" w:ascii="宋体" w:hAnsi="宋体" w:cs="宋体"/>
          <w:szCs w:val="21"/>
        </w:rPr>
        <w:t>备注：</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pPr>
      <w:r>
        <w:rPr>
          <w:rFonts w:hint="eastAsia" w:ascii="宋体" w:hAnsi="宋体" w:cs="宋体"/>
          <w:szCs w:val="21"/>
        </w:rPr>
        <w:t>1．中文大写金额用汉字，如壹、贰、叁、肆、伍、陆、柒、捌、玖、拾、佰、仟、万、亿、元、角、分、零、整（正）等。</w:t>
      </w:r>
    </w:p>
    <w:p>
      <w:pPr>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pPr>
      <w:r>
        <w:rPr>
          <w:rFonts w:hint="eastAsia" w:ascii="宋体" w:hAnsi="宋体" w:cs="宋体"/>
          <w:szCs w:val="21"/>
        </w:rPr>
        <w:t>2．</w:t>
      </w:r>
      <w:r>
        <w:rPr>
          <w:rFonts w:hint="eastAsia" w:ascii="宋体" w:hAnsi="宋体" w:cs="宋体"/>
          <w:bCs w:val="0"/>
          <w:szCs w:val="21"/>
        </w:rPr>
        <w:t>本项目报价采用单价报价的方式。</w:t>
      </w:r>
    </w:p>
    <w:p>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珠海市</w:t>
      </w:r>
      <w:r>
        <w:rPr>
          <w:rFonts w:hint="eastAsia" w:ascii="黑体" w:hAnsi="黑体" w:eastAsia="黑体" w:cs="黑体"/>
          <w:sz w:val="28"/>
          <w:szCs w:val="28"/>
          <w:lang w:eastAsia="zh-CN"/>
        </w:rPr>
        <w:t>香洲区第二人民医院2026年至2028年</w:t>
      </w:r>
      <w:r>
        <w:rPr>
          <w:rFonts w:hint="eastAsia" w:ascii="黑体" w:hAnsi="黑体" w:eastAsia="黑体" w:cs="黑体"/>
          <w:sz w:val="28"/>
          <w:szCs w:val="28"/>
          <w:lang w:val="en-US" w:eastAsia="zh-CN"/>
        </w:rPr>
        <w:t>医用织物洗涤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和配送</w:t>
      </w:r>
      <w:r>
        <w:rPr>
          <w:rFonts w:hint="eastAsia" w:ascii="黑体" w:hAnsi="黑体" w:eastAsia="黑体" w:cs="黑体"/>
          <w:sz w:val="28"/>
          <w:szCs w:val="28"/>
          <w:lang w:eastAsia="zh-CN"/>
        </w:rPr>
        <w:t>服务</w:t>
      </w:r>
      <w:r>
        <w:rPr>
          <w:rFonts w:hint="eastAsia" w:ascii="黑体" w:hAnsi="黑体" w:eastAsia="黑体" w:cs="黑体"/>
          <w:sz w:val="28"/>
          <w:szCs w:val="28"/>
          <w:lang w:val="en-US" w:eastAsia="zh-CN"/>
        </w:rPr>
        <w:t>采购</w:t>
      </w:r>
      <w:r>
        <w:rPr>
          <w:rFonts w:hint="eastAsia" w:ascii="黑体" w:hAnsi="黑体" w:eastAsia="黑体" w:cs="黑体"/>
          <w:sz w:val="28"/>
          <w:szCs w:val="28"/>
          <w:lang w:eastAsia="zh-CN"/>
        </w:rPr>
        <w:t>项目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报价表2（单项报价）</w:t>
      </w:r>
    </w:p>
    <w:p/>
    <w:tbl>
      <w:tblPr>
        <w:tblStyle w:val="7"/>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14"/>
        <w:gridCol w:w="1612"/>
        <w:gridCol w:w="900"/>
        <w:gridCol w:w="1380"/>
        <w:gridCol w:w="2415"/>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物品名称</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2025年数量</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（供参考）</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（人民币元）</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合计金额</w:t>
            </w:r>
          </w:p>
          <w:p>
            <w:pPr>
              <w:pStyle w:val="2"/>
              <w:jc w:val="both"/>
              <w:rPr>
                <w:rFonts w:hint="default"/>
                <w:lang w:val="en-US" w:eastAsia="zh-CN"/>
              </w:rPr>
            </w:pPr>
            <w:r>
              <w:rPr>
                <w:rFonts w:hint="eastAsia" w:ascii="宋体" w:hAnsi="宋体" w:eastAsia="宋体" w:cs="宋体"/>
                <w:sz w:val="21"/>
                <w:szCs w:val="21"/>
                <w:vertAlign w:val="baseline"/>
                <w:lang w:val="en-US" w:eastAsia="zh-CN"/>
              </w:rPr>
              <w:t>（人民币元）</w:t>
            </w:r>
            <w:r>
              <w:rPr>
                <w:rFonts w:hint="eastAsia" w:hAnsi="宋体" w:cs="宋体"/>
                <w:sz w:val="21"/>
                <w:szCs w:val="21"/>
                <w:vertAlign w:val="baseline"/>
                <w:lang w:val="en-US" w:eastAsia="zh-CN"/>
              </w:rPr>
              <w:t>数量*单价</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手套</w:t>
            </w:r>
          </w:p>
        </w:tc>
        <w:tc>
          <w:tcPr>
            <w:tcW w:w="161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工作袍</w:t>
            </w:r>
          </w:p>
        </w:tc>
        <w:tc>
          <w:tcPr>
            <w:tcW w:w="161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13883</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工作裤</w:t>
            </w:r>
          </w:p>
        </w:tc>
        <w:tc>
          <w:tcPr>
            <w:tcW w:w="161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6946</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床单</w:t>
            </w:r>
          </w:p>
        </w:tc>
        <w:tc>
          <w:tcPr>
            <w:tcW w:w="161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21610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被套</w:t>
            </w:r>
          </w:p>
        </w:tc>
        <w:tc>
          <w:tcPr>
            <w:tcW w:w="161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14427</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枕套</w:t>
            </w:r>
          </w:p>
        </w:tc>
        <w:tc>
          <w:tcPr>
            <w:tcW w:w="161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16612</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病人衫</w:t>
            </w:r>
          </w:p>
        </w:tc>
        <w:tc>
          <w:tcPr>
            <w:tcW w:w="161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20168</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病人裤</w:t>
            </w:r>
          </w:p>
        </w:tc>
        <w:tc>
          <w:tcPr>
            <w:tcW w:w="161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22279</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窗帘</w:t>
            </w:r>
          </w:p>
        </w:tc>
        <w:tc>
          <w:tcPr>
            <w:tcW w:w="161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小窗帘</w:t>
            </w:r>
          </w:p>
        </w:tc>
        <w:tc>
          <w:tcPr>
            <w:tcW w:w="161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手术衣</w:t>
            </w:r>
          </w:p>
        </w:tc>
        <w:tc>
          <w:tcPr>
            <w:tcW w:w="161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洗手衫</w:t>
            </w:r>
          </w:p>
        </w:tc>
        <w:tc>
          <w:tcPr>
            <w:tcW w:w="161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15676</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洗手裤</w:t>
            </w:r>
          </w:p>
        </w:tc>
        <w:tc>
          <w:tcPr>
            <w:tcW w:w="161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14600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洗手裙</w:t>
            </w:r>
          </w:p>
        </w:tc>
        <w:tc>
          <w:tcPr>
            <w:tcW w:w="161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2073</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洗手毛巾</w:t>
            </w:r>
          </w:p>
        </w:tc>
        <w:tc>
          <w:tcPr>
            <w:tcW w:w="161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手术中单</w:t>
            </w:r>
          </w:p>
        </w:tc>
        <w:tc>
          <w:tcPr>
            <w:tcW w:w="161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528</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大孔巾</w:t>
            </w:r>
          </w:p>
        </w:tc>
        <w:tc>
          <w:tcPr>
            <w:tcW w:w="161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中孔巾</w:t>
            </w:r>
          </w:p>
        </w:tc>
        <w:tc>
          <w:tcPr>
            <w:tcW w:w="161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2415</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小孔巾</w:t>
            </w:r>
          </w:p>
        </w:tc>
        <w:tc>
          <w:tcPr>
            <w:tcW w:w="161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2258</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大包布</w:t>
            </w:r>
          </w:p>
        </w:tc>
        <w:tc>
          <w:tcPr>
            <w:tcW w:w="161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3217</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中包布</w:t>
            </w:r>
          </w:p>
        </w:tc>
        <w:tc>
          <w:tcPr>
            <w:tcW w:w="161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小包布</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8095</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防水衣</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物品名称</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2025年数量</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（供参考）</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（人民币元）</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合计金额</w:t>
            </w:r>
          </w:p>
          <w:p>
            <w:pPr>
              <w:pStyle w:val="2"/>
              <w:jc w:val="both"/>
              <w:rPr>
                <w:rFonts w:hint="default"/>
                <w:lang w:val="en-US" w:eastAsia="zh-CN"/>
              </w:rPr>
            </w:pPr>
            <w:r>
              <w:rPr>
                <w:rFonts w:hint="eastAsia" w:ascii="宋体" w:hAnsi="宋体" w:eastAsia="宋体" w:cs="宋体"/>
                <w:sz w:val="21"/>
                <w:szCs w:val="21"/>
                <w:vertAlign w:val="baseline"/>
                <w:lang w:val="en-US" w:eastAsia="zh-CN"/>
              </w:rPr>
              <w:t>（人民币元）</w:t>
            </w:r>
            <w:r>
              <w:rPr>
                <w:rFonts w:hint="eastAsia" w:hAnsi="宋体" w:cs="宋体"/>
                <w:sz w:val="21"/>
                <w:szCs w:val="21"/>
                <w:vertAlign w:val="baseline"/>
                <w:lang w:val="en-US" w:eastAsia="zh-CN"/>
              </w:rPr>
              <w:t>数量*单价</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脚套</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1124</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25</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单衣</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26</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婴儿被套</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小被套</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28</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机套</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浴巾</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2792</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毛衣</w:t>
            </w:r>
          </w:p>
        </w:tc>
        <w:tc>
          <w:tcPr>
            <w:tcW w:w="1612" w:type="dxa"/>
            <w:vAlign w:val="bottom"/>
          </w:tcPr>
          <w:p>
            <w:pPr>
              <w:keepNext w:val="0"/>
              <w:keepLines w:val="0"/>
              <w:widowControl/>
              <w:suppressLineNumbers w:val="0"/>
              <w:jc w:val="center"/>
              <w:textAlignment w:val="bottom"/>
              <w:rPr>
                <w:rFonts w:hint="default"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387</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31</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枕芯</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75</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32</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方巾</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152</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33</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围裙</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2131</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34</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担架套</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62</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35</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背心</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36</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大治疗巾</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37</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毛巾被</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38</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手袖/手套</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39</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大布袋</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40</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小布袋</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41</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腰带</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42</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毛毯</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43</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小毛毯</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44</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棉被</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45</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蚊帐</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46</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棉衣</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47</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棉裤</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48</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空调被</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49</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护士帽</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65</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床垫</w:t>
            </w:r>
          </w:p>
        </w:tc>
        <w:tc>
          <w:tcPr>
            <w:tcW w:w="1612" w:type="dxa"/>
            <w:vAlign w:val="bottom"/>
          </w:tcPr>
          <w:p>
            <w:pPr>
              <w:keepNext w:val="0"/>
              <w:keepLines w:val="0"/>
              <w:widowControl/>
              <w:suppressLineNumbers w:val="0"/>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物品名称</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2025年数量</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（供参考）</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（人民币元）</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合计金额</w:t>
            </w:r>
          </w:p>
          <w:p>
            <w:pPr>
              <w:pStyle w:val="2"/>
              <w:jc w:val="both"/>
              <w:rPr>
                <w:rFonts w:hint="default"/>
                <w:lang w:val="en-US" w:eastAsia="zh-CN"/>
              </w:rPr>
            </w:pPr>
            <w:r>
              <w:rPr>
                <w:rFonts w:hint="eastAsia" w:ascii="宋体" w:hAnsi="宋体" w:eastAsia="宋体" w:cs="宋体"/>
                <w:sz w:val="21"/>
                <w:szCs w:val="21"/>
                <w:vertAlign w:val="baseline"/>
                <w:lang w:val="en-US" w:eastAsia="zh-CN"/>
              </w:rPr>
              <w:t>（人民币元）</w:t>
            </w:r>
            <w:r>
              <w:rPr>
                <w:rFonts w:hint="eastAsia" w:hAnsi="宋体" w:cs="宋体"/>
                <w:sz w:val="21"/>
                <w:szCs w:val="21"/>
                <w:vertAlign w:val="baseline"/>
                <w:lang w:val="en-US" w:eastAsia="zh-CN"/>
              </w:rPr>
              <w:t>数量*单价</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51</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背包</w:t>
            </w:r>
          </w:p>
        </w:tc>
        <w:tc>
          <w:tcPr>
            <w:tcW w:w="1612"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52</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枕巾</w:t>
            </w:r>
          </w:p>
        </w:tc>
        <w:tc>
          <w:tcPr>
            <w:tcW w:w="1612"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53</w:t>
            </w:r>
          </w:p>
        </w:tc>
        <w:tc>
          <w:tcPr>
            <w:tcW w:w="1514"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屏风</w:t>
            </w:r>
          </w:p>
        </w:tc>
        <w:tc>
          <w:tcPr>
            <w:tcW w:w="1612"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（服务项目如有增加请自行填写）</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blHeader/>
        </w:trPr>
        <w:tc>
          <w:tcPr>
            <w:tcW w:w="627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项目总金额（人民币元）</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bl>
    <w:p>
      <w:pPr>
        <w:ind w:firstLine="210" w:firstLineChars="100"/>
      </w:pPr>
    </w:p>
    <w:p/>
    <w:p>
      <w:pPr>
        <w:spacing w:after="120" w:line="360" w:lineRule="auto"/>
        <w:jc w:val="both"/>
        <w:rPr>
          <w:rFonts w:ascii="宋体" w:hAnsi="宋体" w:cs="宋体"/>
        </w:rPr>
      </w:pPr>
      <w:r>
        <w:rPr>
          <w:rFonts w:hint="eastAsia" w:ascii="宋体" w:hAnsi="宋体" w:cs="宋体"/>
          <w:lang w:val="en-US" w:eastAsia="zh-CN"/>
        </w:rPr>
        <w:t>报价单位</w:t>
      </w:r>
      <w:r>
        <w:rPr>
          <w:rFonts w:hint="eastAsia" w:ascii="宋体" w:hAnsi="宋体" w:cs="宋体"/>
        </w:rPr>
        <w:t xml:space="preserve">授权代表签字或签章：          </w:t>
      </w:r>
    </w:p>
    <w:p>
      <w:pPr>
        <w:spacing w:after="120" w:line="360" w:lineRule="auto"/>
        <w:jc w:val="both"/>
        <w:rPr>
          <w:rFonts w:ascii="宋体" w:hAnsi="宋体" w:cs="宋体"/>
        </w:rPr>
      </w:pPr>
      <w:r>
        <w:rPr>
          <w:rFonts w:hint="eastAsia" w:ascii="宋体" w:hAnsi="宋体" w:cs="宋体"/>
        </w:rPr>
        <w:t xml:space="preserve">报价单位名称（加盖公章）：                   </w:t>
      </w:r>
    </w:p>
    <w:p>
      <w:pPr>
        <w:spacing w:after="120" w:line="360" w:lineRule="auto"/>
        <w:jc w:val="both"/>
        <w:rPr>
          <w:rFonts w:ascii="宋体" w:hAnsi="宋体" w:cs="宋体"/>
          <w:b/>
          <w:bCs/>
        </w:rPr>
      </w:pPr>
      <w:r>
        <w:rPr>
          <w:rFonts w:hint="eastAsia" w:ascii="宋体" w:hAnsi="宋体" w:cs="宋体"/>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pPr>
      <w:r>
        <w:rPr>
          <w:rFonts w:hint="eastAsia" w:ascii="宋体" w:hAnsi="宋体" w:cs="宋体"/>
          <w:szCs w:val="21"/>
        </w:rPr>
        <w:t>备注：</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pPr>
      <w:r>
        <w:rPr>
          <w:rFonts w:hint="eastAsia" w:ascii="宋体" w:hAnsi="宋体" w:cs="宋体"/>
          <w:szCs w:val="21"/>
        </w:rPr>
        <w:t>1．中文大写金额用汉字，如壹、贰、叁、肆、伍、陆、柒、捌、玖、拾、佰、仟、万、亿、元、角、分、零、整（正）等。</w:t>
      </w:r>
    </w:p>
    <w:p>
      <w:pPr>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rPr>
          <w:rFonts w:hint="eastAsia" w:ascii="宋体" w:hAnsi="宋体" w:cs="宋体"/>
          <w:bCs w:val="0"/>
          <w:szCs w:val="21"/>
        </w:rPr>
      </w:pPr>
      <w:r>
        <w:rPr>
          <w:rFonts w:hint="eastAsia" w:ascii="宋体" w:hAnsi="宋体" w:cs="宋体"/>
          <w:szCs w:val="21"/>
        </w:rPr>
        <w:t>2．</w:t>
      </w:r>
      <w:r>
        <w:rPr>
          <w:rFonts w:hint="eastAsia" w:ascii="宋体" w:hAnsi="宋体" w:cs="宋体"/>
          <w:bCs w:val="0"/>
          <w:szCs w:val="21"/>
        </w:rPr>
        <w:t>本项目报价采用单价报价的方式。</w:t>
      </w:r>
    </w:p>
    <w:p>
      <w:pPr>
        <w:spacing w:line="240" w:lineRule="auto"/>
        <w:ind w:firstLine="0" w:firstLineChars="0"/>
        <w:rPr>
          <w:rFonts w:hint="eastAsia" w:ascii="宋体" w:hAnsi="宋体" w:cs="宋体"/>
          <w:bCs w:val="0"/>
          <w:szCs w:val="21"/>
        </w:rPr>
      </w:pPr>
      <w:r>
        <w:rPr>
          <w:rFonts w:hint="eastAsia" w:ascii="宋体" w:hAnsi="宋体" w:cs="宋体"/>
          <w:bCs w:val="0"/>
          <w:szCs w:val="21"/>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附件6</w:t>
      </w:r>
    </w:p>
    <w:p>
      <w:pPr>
        <w:widowControl w:val="0"/>
        <w:autoSpaceDE/>
        <w:autoSpaceDN/>
        <w:spacing w:before="0" w:after="0" w:line="360" w:lineRule="auto"/>
        <w:ind w:left="0" w:right="0" w:firstLine="0" w:firstLineChars="0"/>
        <w:jc w:val="center"/>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中小企业声明函</w:t>
      </w:r>
      <w:r>
        <w:rPr>
          <w:rFonts w:hint="eastAsia" w:ascii="Times New Roman" w:hAnsi="宋体" w:eastAsia="宋体" w:cs="Times New Roman"/>
          <w:b/>
          <w:bCs/>
          <w:kern w:val="2"/>
          <w:sz w:val="24"/>
          <w:szCs w:val="24"/>
          <w:lang w:val="en-US" w:eastAsia="zh-CN" w:bidi="ar-SA"/>
        </w:rPr>
        <w:t>（参考格式）</w:t>
      </w:r>
    </w:p>
    <w:p>
      <w:pPr>
        <w:ind w:firstLine="480"/>
        <w:jc w:val="left"/>
        <w:outlineLvl w:val="9"/>
        <w:rPr>
          <w:rFonts w:hint="eastAsia" w:ascii="Calibri" w:hAnsi="Calibri" w:eastAsia="宋体" w:cs="Times New Roman"/>
          <w:b/>
          <w:sz w:val="24"/>
          <w:lang w:val="en-US" w:eastAsia="zh-Hans"/>
        </w:rPr>
      </w:pPr>
      <w:r>
        <w:rPr>
          <w:rFonts w:hint="eastAsia" w:ascii="Calibri" w:hAnsi="Calibri" w:eastAsia="宋体" w:cs="Times New Roman"/>
          <w:lang w:val="en-US" w:eastAsia="zh-Hans"/>
        </w:rPr>
        <w:t>（以下格式文件由供应商根据需要选用</w:t>
      </w:r>
      <w:r>
        <w:rPr>
          <w:rFonts w:hint="eastAsia" w:ascii="Calibri" w:hAnsi="Calibri" w:eastAsia="宋体" w:cs="Times New Roman"/>
          <w:lang w:val="en-US" w:eastAsia="zh-CN"/>
        </w:rPr>
        <w:t>，</w:t>
      </w:r>
      <w:r>
        <w:rPr>
          <w:rFonts w:hint="eastAsia" w:ascii="Calibri" w:hAnsi="Calibri" w:eastAsia="宋体" w:cs="Times New Roman"/>
          <w:lang w:val="en-US" w:eastAsia="zh-Hans"/>
        </w:rPr>
        <w:t>所投</w:t>
      </w:r>
      <w:r>
        <w:rPr>
          <w:rFonts w:hint="eastAsia" w:ascii="Calibri" w:hAnsi="Calibri" w:eastAsia="宋体" w:cs="Times New Roman"/>
          <w:lang w:val="en-US" w:eastAsia="zh-CN"/>
        </w:rPr>
        <w:t>供应商</w:t>
      </w:r>
      <w:r>
        <w:rPr>
          <w:rFonts w:hint="eastAsia" w:ascii="Calibri" w:hAnsi="Calibri" w:eastAsia="宋体" w:cs="Times New Roman"/>
          <w:lang w:val="en-US" w:eastAsia="zh-Hans"/>
        </w:rPr>
        <w:t>为中小企业时提交本函，所属行业应符合采购文件中明确的本项目所属行业）</w:t>
      </w:r>
    </w:p>
    <w:p>
      <w:pPr>
        <w:spacing w:line="360" w:lineRule="auto"/>
        <w:jc w:val="center"/>
        <w:outlineLvl w:val="3"/>
        <w:rPr>
          <w:rFonts w:hint="eastAsia" w:ascii="Calibri" w:hAnsi="Calibri" w:eastAsia="宋体" w:cs="Times New Roman"/>
          <w:b/>
          <w:sz w:val="24"/>
          <w:lang w:val="en-US" w:eastAsia="zh-Hans"/>
        </w:rPr>
      </w:pPr>
    </w:p>
    <w:p>
      <w:pPr>
        <w:spacing w:line="360" w:lineRule="auto"/>
        <w:jc w:val="center"/>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中小企业声明函（工程、服务）</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本公司郑重声明，根据《政府采购促进中小企业发展管理办法》（财库﹝2020﹞46号）的规定，本公司参加</w:t>
      </w:r>
      <w:r>
        <w:rPr>
          <w:rFonts w:hint="eastAsia" w:ascii="Calibri" w:hAnsi="Calibri" w:eastAsia="宋体" w:cs="Times New Roman"/>
          <w:u w:val="single"/>
          <w:lang w:val="en-US" w:eastAsia="zh-Hans"/>
        </w:rPr>
        <w:t>（单位名称）</w:t>
      </w:r>
      <w:r>
        <w:rPr>
          <w:rFonts w:hint="eastAsia" w:ascii="Calibri" w:hAnsi="Calibri" w:eastAsia="宋体" w:cs="Times New Roman"/>
          <w:lang w:val="en-US" w:eastAsia="zh-Hans"/>
        </w:rPr>
        <w:t>的</w:t>
      </w:r>
      <w:r>
        <w:rPr>
          <w:rFonts w:hint="eastAsia" w:ascii="Calibri" w:hAnsi="Calibri" w:eastAsia="宋体" w:cs="Times New Roman"/>
          <w:u w:val="single"/>
          <w:lang w:val="en-US" w:eastAsia="zh-Hans"/>
        </w:rPr>
        <w:t>（项目名称）</w:t>
      </w:r>
      <w:r>
        <w:rPr>
          <w:rFonts w:hint="eastAsia" w:ascii="Calibri" w:hAnsi="Calibri" w:eastAsia="宋体" w:cs="Times New Roman"/>
          <w:lang w:val="en-US" w:eastAsia="zh-Hans"/>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2.</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以上企业，不属于大企业的分支机构，不存在控股股东为大企业的情形，也不存在与大企业的负责人为同一人的情形。</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本企业对上述声明内容的真实性负责。如有虚假，将依法承担相应责任。</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企业名称（盖章）：__________________</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日期： 年 月 日</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1：从业人员、营业收入、资产总额填报上一年度数据，无上一年度数据的新成立企业可不填报。</w:t>
      </w:r>
    </w:p>
    <w:p>
      <w:pPr>
        <w:spacing w:line="360" w:lineRule="auto"/>
        <w:ind w:firstLine="480"/>
      </w:pPr>
      <w:r>
        <w:rPr>
          <w:rFonts w:hint="eastAsia" w:ascii="Calibri" w:hAnsi="Calibri" w:eastAsia="宋体" w:cs="Times New Roman"/>
          <w:lang w:val="en-US" w:eastAsia="zh-Hans"/>
        </w:rPr>
        <w:t>2：投标人应当自行核实是否属于小微企业，并认真填写声明函，若有虚假将追究其责任。</w:t>
      </w:r>
    </w:p>
    <w:p>
      <w:pPr>
        <w:pStyle w:val="3"/>
        <w:rPr>
          <w:rFonts w:hint="default"/>
          <w:lang w:val="en-US" w:eastAsia="zh-CN"/>
        </w:rPr>
      </w:pPr>
    </w:p>
    <w:sectPr>
      <w:pgSz w:w="11906" w:h="16838"/>
      <w:pgMar w:top="1701" w:right="1079"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1EF54"/>
    <w:multiLevelType w:val="singleLevel"/>
    <w:tmpl w:val="05B1EF54"/>
    <w:lvl w:ilvl="0" w:tentative="0">
      <w:start w:val="3"/>
      <w:numFmt w:val="chineseCounting"/>
      <w:suff w:val="nothing"/>
      <w:lvlText w:val="（%1）"/>
      <w:lvlJc w:val="left"/>
      <w:pPr>
        <w:ind w:left="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66AD4"/>
    <w:rsid w:val="016844D0"/>
    <w:rsid w:val="0A343B3D"/>
    <w:rsid w:val="0C605AD8"/>
    <w:rsid w:val="0E8B1924"/>
    <w:rsid w:val="0E8D6E57"/>
    <w:rsid w:val="10771E3F"/>
    <w:rsid w:val="11925B9F"/>
    <w:rsid w:val="11D34A91"/>
    <w:rsid w:val="15C42703"/>
    <w:rsid w:val="16DA3C45"/>
    <w:rsid w:val="174043B2"/>
    <w:rsid w:val="19713CAD"/>
    <w:rsid w:val="19DB3A34"/>
    <w:rsid w:val="225F76C2"/>
    <w:rsid w:val="22AD7CCD"/>
    <w:rsid w:val="23CC6DB3"/>
    <w:rsid w:val="247D50F0"/>
    <w:rsid w:val="25826736"/>
    <w:rsid w:val="2666537C"/>
    <w:rsid w:val="29AF093F"/>
    <w:rsid w:val="2BF612E4"/>
    <w:rsid w:val="2D0D3704"/>
    <w:rsid w:val="2E426ADD"/>
    <w:rsid w:val="30BA35CC"/>
    <w:rsid w:val="32E2356B"/>
    <w:rsid w:val="36B57CC9"/>
    <w:rsid w:val="37A63923"/>
    <w:rsid w:val="3813243D"/>
    <w:rsid w:val="39057817"/>
    <w:rsid w:val="39F03816"/>
    <w:rsid w:val="43A15100"/>
    <w:rsid w:val="465476DE"/>
    <w:rsid w:val="47FA65A7"/>
    <w:rsid w:val="491757CE"/>
    <w:rsid w:val="4C75097F"/>
    <w:rsid w:val="4EDA5F41"/>
    <w:rsid w:val="550C5C29"/>
    <w:rsid w:val="55A734CB"/>
    <w:rsid w:val="56D47AD8"/>
    <w:rsid w:val="572F1065"/>
    <w:rsid w:val="58907662"/>
    <w:rsid w:val="58B66AD4"/>
    <w:rsid w:val="591C1C0A"/>
    <w:rsid w:val="5A7E3352"/>
    <w:rsid w:val="5F6F62C3"/>
    <w:rsid w:val="602535BD"/>
    <w:rsid w:val="634F4664"/>
    <w:rsid w:val="63542BBC"/>
    <w:rsid w:val="63DE0A81"/>
    <w:rsid w:val="69E9170F"/>
    <w:rsid w:val="6AAC3C13"/>
    <w:rsid w:val="6BDE45BF"/>
    <w:rsid w:val="6C785A05"/>
    <w:rsid w:val="6E3F4C27"/>
    <w:rsid w:val="70722363"/>
    <w:rsid w:val="717776B7"/>
    <w:rsid w:val="72C54E4A"/>
    <w:rsid w:val="75136FA0"/>
    <w:rsid w:val="77492442"/>
    <w:rsid w:val="78FA4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basedOn w:val="1"/>
    <w:qFormat/>
    <w:uiPriority w:val="0"/>
    <w:pPr>
      <w:spacing w:after="120"/>
    </w:pPr>
    <w:rPr>
      <w:sz w:val="20"/>
    </w:rPr>
  </w:style>
  <w:style w:type="paragraph" w:styleId="4">
    <w:name w:val="Plain Text"/>
    <w:basedOn w:val="1"/>
    <w:next w:val="1"/>
    <w:qFormat/>
    <w:uiPriority w:val="0"/>
    <w:rPr>
      <w:rFonts w:ascii="宋体" w:hAnsi="Courier New" w:cs="Courier New"/>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9</Pages>
  <Words>3462</Words>
  <Characters>3680</Characters>
  <Lines>0</Lines>
  <Paragraphs>0</Paragraphs>
  <TotalTime>13</TotalTime>
  <ScaleCrop>false</ScaleCrop>
  <LinksUpToDate>false</LinksUpToDate>
  <CharactersWithSpaces>3778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2024-12-04T10:41:00Z</dcterms:created>
  <dc:creator>DXL</dc:creator>
  <cp:lastModifiedBy>内审dxl</cp:lastModifiedBy>
  <cp:lastPrinted>2025-02-28T04:33:00Z</cp:lastPrinted>
  <dcterms:modified xsi:type="dcterms:W3CDTF">2026-04-08T10:08:17Z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CFB59140D96C498F84FF11852B799B2F_11</vt:lpwstr>
  </property>
  <property fmtid="{D5CDD505-2E9C-101B-9397-08002B2CF9AE}" pid="4" name="KSOTemplateDocerSaveRecord">
    <vt:lpwstr>eyJoZGlkIjoiZTU5ZmNhYzMxMzZjNzcyNGY5OWRjZGU4YmU1MWZkNzEifQ==</vt:lpwstr>
  </property>
</Properties>
</file>