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珠海市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香洲区第二人民医院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车辆定点加油服务采购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珠海市香洲区第二人民医院车辆定点加油服务采购项目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HQDY2025020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3.项目估算: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270000元。</w:t>
      </w:r>
      <w:bookmarkStart w:id="4" w:name="_GoBack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4.服务期限：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3年，合同签订之日起三年。</w:t>
      </w:r>
    </w:p>
    <w:p>
      <w:pPr>
        <w:pStyle w:val="20"/>
        <w:spacing w:line="500" w:lineRule="exact"/>
        <w:ind w:firstLine="562" w:firstLineChars="20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5.服务范围：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香洲区第二人民医院车辆定点加油服务。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二、项目需求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供应商应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珠海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市区域内依法、依规经营多个加油站网点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在采购人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所在位置方圆3公里内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设有加油站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网点）。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供应商提供的成品油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（汽油、柴油等）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须符合国家标准，经市场监管部门检验检测合格，并具有合法、合规、长期、稳定的供应渠道。供应商加油站及仓储设置符合国家标准及行业规范。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供应商提供的加油服务须保证时效性、连续性和稳定性，确保采购人车辆在任何时候都能得到及时、优先、优质的加油服务。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供应商应指定专人负责本项目管理，与采购人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指定科室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负责人保持信息沟通，对存在问题及时进行反馈、整改。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或其工作人员在为采购人服务过程中，供应商有下列情形之一的，采购人有权解除合同，并由供应商承担违约责任：违反国家法律法规、行业规范、上级文件规定或采购人规定；不履行合同；服务人员态度恶劣；成品油以次充好；给采购人所加的成品油分量不足；其所售成品油经市场监管部门检验检测不合格；因供应商原因引发严重安全事故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因供应商原因造成采购人的工作人员人身、财产损失的，由供应商负责全额赔偿，并承担相应的法律责任。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供应商的成品油价格不得高于国家发改委公布的成品油价格，不得随意调整，否则采购人有权解除合同，并由供应商承担违约责任。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8.供应商应确保加油员工严格按规则（即采购人指定车牌号）加油，如出现供应商员工违反规则加油，或供应商员工与采购人乙方四季串通给非指定车牌号加油的，则采购人有权要求供应商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负责全额赔偿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9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701" w:right="1474" w:bottom="1379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99" w:leftChars="-95" w:right="0" w:righ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bookmarkStart w:id="0" w:name="_Toc7572"/>
      <w:bookmarkStart w:id="1" w:name="_Toc28527"/>
      <w:bookmarkStart w:id="2" w:name="_Toc19430"/>
      <w:bookmarkStart w:id="3" w:name="_Toc11077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附件2</w:t>
      </w:r>
      <w:bookmarkEnd w:id="0"/>
      <w:bookmarkEnd w:id="1"/>
      <w:bookmarkEnd w:id="2"/>
      <w:bookmarkEnd w:id="3"/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>
      <w:pPr>
        <w:pStyle w:val="3"/>
        <w:ind w:left="0" w:leftChars="0" w:firstLine="0" w:firstLineChars="0"/>
        <w:rPr>
          <w:rFonts w:hint="eastAsia"/>
          <w:lang w:val="zh-CN" w:eastAsia="zh-CN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报价表</w:t>
      </w:r>
    </w:p>
    <w:p>
      <w:pPr>
        <w:spacing w:line="400" w:lineRule="exact"/>
        <w:ind w:left="945" w:hanging="945" w:hangingChars="450"/>
        <w:jc w:val="left"/>
        <w:rPr>
          <w:rFonts w:ascii="宋体" w:hAnsi="宋体" w:cs="宋体"/>
          <w:kern w:val="0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674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13" w:type="dxa"/>
            <w:shd w:val="clear" w:color="auto" w:fill="EEECE1"/>
            <w:noWrap w:val="0"/>
            <w:vAlign w:val="center"/>
          </w:tcPr>
          <w:p>
            <w:pPr>
              <w:snapToGrid w:val="0"/>
              <w:spacing w:line="240" w:lineRule="auto"/>
              <w:ind w:right="-38" w:rightChars="-18"/>
              <w:jc w:val="center"/>
              <w:rPr>
                <w:rFonts w:ascii="宋体" w:hAnsi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项目名称</w:t>
            </w:r>
          </w:p>
        </w:tc>
        <w:tc>
          <w:tcPr>
            <w:tcW w:w="6745" w:type="dxa"/>
            <w:shd w:val="clear" w:color="auto" w:fill="EEECE1"/>
            <w:noWrap w:val="0"/>
            <w:vAlign w:val="center"/>
          </w:tcPr>
          <w:p>
            <w:pPr>
              <w:snapToGrid w:val="0"/>
              <w:spacing w:line="240" w:lineRule="auto"/>
              <w:ind w:right="-38" w:rightChars="-18"/>
              <w:jc w:val="center"/>
              <w:rPr>
                <w:rFonts w:hint="eastAsia" w:ascii="宋体" w:hAnsi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报价（元）</w:t>
            </w:r>
          </w:p>
        </w:tc>
        <w:tc>
          <w:tcPr>
            <w:tcW w:w="800" w:type="dxa"/>
            <w:shd w:val="clear" w:color="auto" w:fill="EEECE1"/>
            <w:noWrap w:val="0"/>
            <w:vAlign w:val="center"/>
          </w:tcPr>
          <w:p>
            <w:pPr>
              <w:snapToGrid w:val="0"/>
              <w:spacing w:line="240" w:lineRule="auto"/>
              <w:ind w:right="-38" w:rightChars="-18"/>
              <w:jc w:val="center"/>
              <w:rPr>
                <w:rFonts w:hint="eastAsia" w:ascii="宋体" w:hAnsi="宋体" w:eastAsia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240" w:lineRule="auto"/>
              <w:ind w:left="-94" w:leftChars="-45" w:right="-69" w:rightChars="-33"/>
              <w:jc w:val="center"/>
              <w:rPr>
                <w:rFonts w:ascii="宋体" w:hAnsi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珠海市香洲区第二人民医院车辆定点加油服务采购项目</w:t>
            </w:r>
          </w:p>
        </w:tc>
        <w:tc>
          <w:tcPr>
            <w:tcW w:w="67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汽油享受以发改委发布的零售价优惠（大写）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>元/升（小写）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val="en-US" w:eastAsia="zh-CN"/>
              </w:rPr>
              <w:t>元/升；</w:t>
            </w:r>
          </w:p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柴油</w:t>
            </w:r>
            <w:r>
              <w:rPr>
                <w:rFonts w:hint="default" w:cs="Times New Roman"/>
                <w:lang w:val="en-US" w:eastAsia="zh-CN"/>
              </w:rPr>
              <w:t>享受以发改委发布的零售价优惠</w:t>
            </w:r>
            <w:r>
              <w:rPr>
                <w:rFonts w:hint="eastAsia" w:cs="Times New Roman"/>
                <w:lang w:val="en-US" w:eastAsia="zh-CN"/>
              </w:rPr>
              <w:t>（大写）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>元/升（小写）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val="en-US" w:eastAsia="zh-CN"/>
              </w:rPr>
              <w:t>元/升；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kern w:val="0"/>
                <w:u w:val="single"/>
                <w:lang w:val="en-US" w:eastAsia="zh-CN" w:bidi="ar-SA"/>
              </w:rPr>
            </w:pPr>
          </w:p>
        </w:tc>
      </w:tr>
    </w:tbl>
    <w:p>
      <w:pPr>
        <w:snapToGrid w:val="0"/>
        <w:jc w:val="left"/>
        <w:rPr>
          <w:rFonts w:ascii="宋体" w:hAnsi="宋体" w:cs="宋体"/>
          <w:color w:val="0000FF"/>
          <w:kern w:val="0"/>
          <w:lang w:val="en-US" w:eastAsia="zh-CN" w:bidi="ar-SA"/>
        </w:rPr>
      </w:pPr>
    </w:p>
    <w:p>
      <w:pPr>
        <w:spacing w:after="120" w:line="360" w:lineRule="auto"/>
        <w:jc w:val="both"/>
        <w:rPr>
          <w:rFonts w:ascii="宋体" w:hAnsi="宋体" w:cs="宋体"/>
          <w:kern w:val="0"/>
          <w:lang w:val="en-US" w:eastAsia="zh-CN" w:bidi="ar-SA"/>
        </w:rPr>
      </w:pPr>
    </w:p>
    <w:p>
      <w:pPr>
        <w:spacing w:after="120"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报价单位授权代表签字或签章：          </w:t>
      </w:r>
    </w:p>
    <w:p>
      <w:pPr>
        <w:spacing w:after="120"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报价单位名称（加盖投标人公章）：                   </w:t>
      </w:r>
    </w:p>
    <w:p>
      <w:pPr>
        <w:spacing w:after="120" w:line="360" w:lineRule="auto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</w:rPr>
        <w:t xml:space="preserve">日期：              </w:t>
      </w: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备注：中文大写金额用汉字，如壹、贰、叁、肆、伍、陆、柒、捌、玖、拾、佰、仟、万、亿、元、角、分、零、整（正）等。</w:t>
      </w:r>
    </w:p>
    <w:p>
      <w:pPr>
        <w:spacing w:line="360" w:lineRule="auto"/>
      </w:pP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6AD4"/>
    <w:rsid w:val="00A81B34"/>
    <w:rsid w:val="016844D0"/>
    <w:rsid w:val="035C1F7D"/>
    <w:rsid w:val="07895671"/>
    <w:rsid w:val="084A59C2"/>
    <w:rsid w:val="0A782CB2"/>
    <w:rsid w:val="0BB278C1"/>
    <w:rsid w:val="0D7D12A8"/>
    <w:rsid w:val="0E6F5449"/>
    <w:rsid w:val="0E8D6E57"/>
    <w:rsid w:val="0F4D4DE6"/>
    <w:rsid w:val="10190F86"/>
    <w:rsid w:val="11925B9F"/>
    <w:rsid w:val="11D34A91"/>
    <w:rsid w:val="137F1EFC"/>
    <w:rsid w:val="14417F2B"/>
    <w:rsid w:val="158D571D"/>
    <w:rsid w:val="15DF7E99"/>
    <w:rsid w:val="174043B2"/>
    <w:rsid w:val="176B01B3"/>
    <w:rsid w:val="177A26C9"/>
    <w:rsid w:val="19703EEB"/>
    <w:rsid w:val="19713CAD"/>
    <w:rsid w:val="19B1173A"/>
    <w:rsid w:val="1A6121A5"/>
    <w:rsid w:val="1A9B7001"/>
    <w:rsid w:val="1B9D191C"/>
    <w:rsid w:val="1C5114DC"/>
    <w:rsid w:val="1CCA283A"/>
    <w:rsid w:val="1D4328FA"/>
    <w:rsid w:val="1EB16472"/>
    <w:rsid w:val="1FBA1115"/>
    <w:rsid w:val="20BE3311"/>
    <w:rsid w:val="20D717F2"/>
    <w:rsid w:val="20D80AC3"/>
    <w:rsid w:val="227A4F8A"/>
    <w:rsid w:val="23D24A5F"/>
    <w:rsid w:val="24BD4C17"/>
    <w:rsid w:val="25135825"/>
    <w:rsid w:val="25806D2C"/>
    <w:rsid w:val="27345D8C"/>
    <w:rsid w:val="27C93298"/>
    <w:rsid w:val="28910625"/>
    <w:rsid w:val="29A10D4F"/>
    <w:rsid w:val="2BEC617B"/>
    <w:rsid w:val="2BF612E4"/>
    <w:rsid w:val="2D0D3704"/>
    <w:rsid w:val="2D325007"/>
    <w:rsid w:val="2D376058"/>
    <w:rsid w:val="2DA44F53"/>
    <w:rsid w:val="2E426ADD"/>
    <w:rsid w:val="2F67730C"/>
    <w:rsid w:val="2FE14059"/>
    <w:rsid w:val="33063387"/>
    <w:rsid w:val="33C95D76"/>
    <w:rsid w:val="35C81BDA"/>
    <w:rsid w:val="36A962BD"/>
    <w:rsid w:val="37116F51"/>
    <w:rsid w:val="375E73E5"/>
    <w:rsid w:val="37A63923"/>
    <w:rsid w:val="39994A84"/>
    <w:rsid w:val="3BA50630"/>
    <w:rsid w:val="3EBE64E4"/>
    <w:rsid w:val="3FB843F3"/>
    <w:rsid w:val="410E6FDE"/>
    <w:rsid w:val="415D385D"/>
    <w:rsid w:val="41891036"/>
    <w:rsid w:val="41DC29A3"/>
    <w:rsid w:val="43A15100"/>
    <w:rsid w:val="43E24A77"/>
    <w:rsid w:val="43FA2DCC"/>
    <w:rsid w:val="43FD1919"/>
    <w:rsid w:val="44FD6334"/>
    <w:rsid w:val="44FF5223"/>
    <w:rsid w:val="45FE1F53"/>
    <w:rsid w:val="468B5AEB"/>
    <w:rsid w:val="47E941C7"/>
    <w:rsid w:val="47FA65A7"/>
    <w:rsid w:val="48297555"/>
    <w:rsid w:val="491757CE"/>
    <w:rsid w:val="4B4A4647"/>
    <w:rsid w:val="4BE07389"/>
    <w:rsid w:val="4C327364"/>
    <w:rsid w:val="4C5B3EF4"/>
    <w:rsid w:val="50E100E3"/>
    <w:rsid w:val="515E4D86"/>
    <w:rsid w:val="53BD3A80"/>
    <w:rsid w:val="5490229E"/>
    <w:rsid w:val="54C44181"/>
    <w:rsid w:val="56F84F3E"/>
    <w:rsid w:val="57626350"/>
    <w:rsid w:val="58B66AD4"/>
    <w:rsid w:val="5A47647E"/>
    <w:rsid w:val="5A4C3614"/>
    <w:rsid w:val="5A7E3352"/>
    <w:rsid w:val="5C082009"/>
    <w:rsid w:val="5CBC2BA5"/>
    <w:rsid w:val="5CC0243E"/>
    <w:rsid w:val="5F6B4CFE"/>
    <w:rsid w:val="5F716A46"/>
    <w:rsid w:val="5FF7662A"/>
    <w:rsid w:val="60777FDD"/>
    <w:rsid w:val="61A4091D"/>
    <w:rsid w:val="634E16F7"/>
    <w:rsid w:val="634F4664"/>
    <w:rsid w:val="63710952"/>
    <w:rsid w:val="641F6CF3"/>
    <w:rsid w:val="649E79F6"/>
    <w:rsid w:val="66195D1F"/>
    <w:rsid w:val="6AAC3C13"/>
    <w:rsid w:val="6B3C4644"/>
    <w:rsid w:val="6B6F5FBC"/>
    <w:rsid w:val="6BDE45BF"/>
    <w:rsid w:val="6C4064B4"/>
    <w:rsid w:val="6C785A05"/>
    <w:rsid w:val="6D2B41CC"/>
    <w:rsid w:val="6F47651F"/>
    <w:rsid w:val="70722363"/>
    <w:rsid w:val="716A5BEF"/>
    <w:rsid w:val="72BA48D7"/>
    <w:rsid w:val="72C2030B"/>
    <w:rsid w:val="74986821"/>
    <w:rsid w:val="7628242E"/>
    <w:rsid w:val="771C067A"/>
    <w:rsid w:val="771C16E4"/>
    <w:rsid w:val="77492442"/>
    <w:rsid w:val="77A449ED"/>
    <w:rsid w:val="782C06D6"/>
    <w:rsid w:val="783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autoSpaceDE w:val="0"/>
      <w:autoSpaceDN w:val="0"/>
      <w:adjustRightInd w:val="0"/>
      <w:spacing w:before="0" w:after="0" w:line="480" w:lineRule="exact"/>
      <w:ind w:left="0" w:right="0" w:firstLine="560"/>
      <w:jc w:val="left"/>
    </w:pPr>
    <w:rPr>
      <w:rFonts w:ascii="宋体" w:hAnsi="宋体" w:eastAsia="宋体" w:cs="宋体"/>
      <w:color w:val="000000"/>
      <w:kern w:val="0"/>
      <w:sz w:val="28"/>
      <w:szCs w:val="20"/>
      <w:lang w:val="zh-CN" w:eastAsia="zh-CN" w:bidi="zh-CN"/>
    </w:rPr>
  </w:style>
  <w:style w:type="paragraph" w:styleId="3">
    <w:name w:val="Body Text Indent 3"/>
    <w:basedOn w:val="1"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/>
      <w:jc w:val="left"/>
    </w:pPr>
    <w:rPr>
      <w:rFonts w:ascii="宋体" w:hAnsi="宋体" w:eastAsia="宋体" w:cs="宋体"/>
      <w:sz w:val="16"/>
      <w:szCs w:val="16"/>
      <w:lang w:val="zh-CN" w:eastAsia="zh-CN" w:bidi="zh-CN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sz w:val="20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jc w:val="center"/>
    </w:pPr>
    <w:rPr>
      <w:rFonts w:ascii="宋体" w:hAnsi="宋体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font4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1">
    <w:name w:val="1级标题"/>
    <w:basedOn w:val="22"/>
    <w:qFormat/>
    <w:uiPriority w:val="0"/>
    <w:pPr>
      <w:spacing w:after="113" w:afterLines="0" w:line="440" w:lineRule="atLeast"/>
      <w:ind w:firstLine="425"/>
    </w:pPr>
    <w:rPr>
      <w:rFonts w:ascii="汉仪大宋简" w:eastAsia="汉仪大宋简"/>
      <w:spacing w:val="4"/>
      <w:sz w:val="26"/>
      <w:szCs w:val="26"/>
    </w:rPr>
  </w:style>
  <w:style w:type="paragraph" w:customStyle="1" w:styleId="22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Times New Roman" w:eastAsia="宋体" w:cs="Times New Roman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10</Pages>
  <Words>3397</Words>
  <Characters>3608</Characters>
  <Lines>0</Lines>
  <Paragraphs>0</Paragraphs>
  <TotalTime>24</TotalTime>
  <ScaleCrop>false</ScaleCrop>
  <LinksUpToDate>false</LinksUpToDate>
  <CharactersWithSpaces>3745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2024-12-04T10:41:00Z</dcterms:created>
  <dc:creator>DXL</dc:creator>
  <cp:lastModifiedBy>USR</cp:lastModifiedBy>
  <cp:lastPrinted>2025-10-14T08:32:05Z</cp:lastPrinted>
  <dcterms:modified xsi:type="dcterms:W3CDTF">2025-10-14T09:00:05Z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CFB59140D96C498F84FF11852B799B2F_11</vt:lpwstr>
  </property>
  <property fmtid="{D5CDD505-2E9C-101B-9397-08002B2CF9AE}" pid="4" name="KSOTemplateDocerSaveRecord">
    <vt:lpwstr>eyJoZGlkIjoiYzk2NzUxMzcxNWJjNWNmMzgwMmNiYTc1M2U2YThlYjAifQ==</vt:lpwstr>
  </property>
</Properties>
</file>