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珠海市</w:t>
      </w:r>
      <w:r>
        <w:rPr>
          <w:rFonts w:hint="eastAsia" w:ascii="黑体" w:hAnsi="黑体" w:eastAsia="黑体" w:cs="黑体"/>
          <w:sz w:val="32"/>
          <w:szCs w:val="32"/>
          <w:lang w:eastAsia="zh-CN"/>
        </w:rPr>
        <w:t>香洲区第二人民医院</w:t>
      </w:r>
      <w:r>
        <w:rPr>
          <w:rFonts w:hint="eastAsia" w:ascii="黑体" w:hAnsi="黑体" w:eastAsia="黑体" w:cs="黑体"/>
          <w:sz w:val="32"/>
          <w:szCs w:val="32"/>
          <w:lang w:val="en-US" w:eastAsia="zh-CN"/>
        </w:rPr>
        <w:t>2026年度医疗责任险采购</w:t>
      </w:r>
      <w:r>
        <w:rPr>
          <w:rFonts w:hint="eastAsia" w:ascii="黑体" w:hAnsi="黑体" w:eastAsia="黑体" w:cs="黑体"/>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（一）项目名称</w:t>
      </w:r>
      <w:r>
        <w:rPr>
          <w:rFonts w:hint="eastAsia" w:ascii="宋体" w:hAnsi="宋体" w:eastAsia="宋体" w:cs="宋体"/>
          <w:b w:val="0"/>
          <w:bCs w:val="0"/>
          <w:sz w:val="28"/>
          <w:szCs w:val="28"/>
          <w:lang w:val="en-US" w:eastAsia="zh-CN"/>
        </w:rPr>
        <w:t>：</w:t>
      </w: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珠海市香洲区第二人民医院2026年度医疗责任险采购项目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（二）项目编号</w:t>
      </w:r>
      <w:r>
        <w:rPr>
          <w:rFonts w:hint="eastAsia" w:ascii="宋体" w:hAnsi="宋体" w:eastAsia="宋体" w:cs="宋体"/>
          <w:b w:val="0"/>
          <w:bCs w:val="0"/>
          <w:sz w:val="28"/>
          <w:szCs w:val="28"/>
          <w:lang w:val="en-US" w:eastAsia="zh-CN"/>
        </w:rPr>
        <w:t>：</w:t>
      </w: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HQDY2025018</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default"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（三）项目估算：124718元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both"/>
        <w:textAlignment w:val="auto"/>
        <w:rPr>
          <w:rFonts w:hint="eastAsia" w:ascii="宋体" w:hAnsi="宋体" w:eastAsia="宋体" w:cs="宋体"/>
          <w:b w:val="0"/>
          <w:bC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（四）服务期限</w:t>
      </w:r>
      <w:r>
        <w:rPr>
          <w:rFonts w:hint="eastAsia" w:ascii="宋体" w:hAnsi="宋体" w:eastAsia="宋体" w:cs="宋体"/>
          <w:b w:val="0"/>
          <w:bCs w:val="0"/>
          <w:sz w:val="28"/>
          <w:szCs w:val="28"/>
          <w:lang w:val="en-US" w:eastAsia="zh-CN"/>
        </w:rPr>
        <w:t>：</w:t>
      </w: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1年，以出具的电子保单为准</w:t>
      </w:r>
    </w:p>
    <w:p>
      <w:pPr>
        <w:pStyle w:val="20"/>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（五）服务范围</w:t>
      </w:r>
      <w:r>
        <w:rPr>
          <w:rFonts w:hint="eastAsia" w:ascii="宋体" w:hAnsi="宋体" w:eastAsia="宋体" w:cs="宋体"/>
          <w:b w:val="0"/>
          <w:bCs w:val="0"/>
          <w:i w:val="0"/>
          <w:iCs w:val="0"/>
          <w:caps w:val="0"/>
          <w:color w:val="333333"/>
          <w:spacing w:val="0"/>
          <w:sz w:val="28"/>
          <w:szCs w:val="28"/>
          <w:shd w:val="clear" w:fill="FFFFFF"/>
          <w:lang w:val="en-US" w:eastAsia="zh-CN"/>
        </w:rPr>
        <w:t>：</w:t>
      </w:r>
      <w:r>
        <w:rPr>
          <w:rFonts w:hint="eastAsia" w:ascii="仿宋" w:hAnsi="仿宋" w:eastAsia="仿宋" w:cs="仿宋"/>
          <w:b w:val="0"/>
          <w:bCs w:val="0"/>
          <w:color w:val="000000" w:themeColor="text1"/>
          <w:spacing w:val="0"/>
          <w:kern w:val="0"/>
          <w:sz w:val="32"/>
          <w:szCs w:val="32"/>
          <w:highlight w:val="none"/>
          <w:lang w:val="en-US" w:eastAsia="zh-CN" w:bidi="ar"/>
          <w14:textFill>
            <w14:solidFill>
              <w14:schemeClr w14:val="tx1"/>
            </w14:solidFill>
          </w14:textFill>
        </w:rPr>
        <w:t>对于在我院发生的医疗纠纷案件，经调解、诉讼等处理结案的，属于保险期限及追溯期内的，保险公司履行赔付义务。</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二、投保数据（供参考）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一）医疗机构名称：珠海市香洲区第二人民医院，以及院办院管方式管辖南屏社区卫生服务中心，该中心下设广昌社区卫生服务站、广生社区卫生服务站、东桥社区卫生服务站、南屏科技工业园社区卫生站（在建）</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（二）医疗机构地址：珠海市香洲区南屏镇南泉路21号</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（三）医疗机构信息：综合二级</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（四）床位数：172张</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（五）医务人员数：现有277人（投保后如有人员增减将及时告知）</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（六）2024年度门诊人次：368188人次，2024年度出院人次：5508人。</w:t>
      </w:r>
    </w:p>
    <w:tbl>
      <w:tblPr>
        <w:tblStyle w:val="11"/>
        <w:tblW w:w="9506" w:type="dxa"/>
        <w:tblInd w:w="-182" w:type="dxa"/>
        <w:shd w:val="clear" w:color="auto" w:fill="auto"/>
        <w:tblLayout w:type="fixed"/>
        <w:tblCellMar>
          <w:top w:w="0" w:type="dxa"/>
          <w:left w:w="0" w:type="dxa"/>
          <w:bottom w:w="0" w:type="dxa"/>
          <w:right w:w="0" w:type="dxa"/>
        </w:tblCellMar>
      </w:tblPr>
      <w:tblGrid>
        <w:gridCol w:w="3578"/>
        <w:gridCol w:w="1591"/>
        <w:gridCol w:w="2046"/>
        <w:gridCol w:w="918"/>
        <w:gridCol w:w="1373"/>
      </w:tblGrid>
      <w:tr>
        <w:tblPrEx>
          <w:shd w:val="clear" w:color="auto" w:fill="auto"/>
          <w:tblCellMar>
            <w:top w:w="0" w:type="dxa"/>
            <w:left w:w="0" w:type="dxa"/>
            <w:bottom w:w="0" w:type="dxa"/>
            <w:right w:w="0" w:type="dxa"/>
          </w:tblCellMar>
        </w:tblPrEx>
        <w:trPr>
          <w:trHeight w:val="537" w:hRule="atLeast"/>
        </w:trPr>
        <w:tc>
          <w:tcPr>
            <w:tcW w:w="35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机构名称</w:t>
            </w:r>
          </w:p>
        </w:tc>
        <w:tc>
          <w:tcPr>
            <w:tcW w:w="15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医务人员数</w:t>
            </w:r>
          </w:p>
        </w:tc>
        <w:tc>
          <w:tcPr>
            <w:tcW w:w="204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就诊人数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（2024年）</w:t>
            </w:r>
          </w:p>
        </w:tc>
        <w:tc>
          <w:tcPr>
            <w:tcW w:w="91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床位数</w:t>
            </w:r>
          </w:p>
        </w:tc>
        <w:tc>
          <w:tcPr>
            <w:tcW w:w="13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出院人数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（2024年）</w:t>
            </w:r>
          </w:p>
        </w:tc>
      </w:tr>
      <w:tr>
        <w:tblPrEx>
          <w:shd w:val="clear" w:color="auto" w:fill="auto"/>
          <w:tblCellMar>
            <w:top w:w="0" w:type="dxa"/>
            <w:left w:w="0" w:type="dxa"/>
            <w:bottom w:w="0" w:type="dxa"/>
            <w:right w:w="0" w:type="dxa"/>
          </w:tblCellMar>
        </w:tblPrEx>
        <w:trPr>
          <w:trHeight w:val="850"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珠海市香洲区第二人民医院</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234</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280588</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172</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5508</w:t>
            </w:r>
          </w:p>
        </w:tc>
      </w:tr>
      <w:tr>
        <w:tblPrEx>
          <w:shd w:val="clear" w:color="auto" w:fill="auto"/>
          <w:tblCellMar>
            <w:top w:w="0" w:type="dxa"/>
            <w:left w:w="0" w:type="dxa"/>
            <w:bottom w:w="0" w:type="dxa"/>
            <w:right w:w="0" w:type="dxa"/>
          </w:tblCellMar>
        </w:tblPrEx>
        <w:trPr>
          <w:trHeight w:val="850"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珠海市香洲区南屏社区卫生服务中心</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24</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42000</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r>
      <w:tr>
        <w:tblPrEx>
          <w:tblCellMar>
            <w:top w:w="0" w:type="dxa"/>
            <w:left w:w="0" w:type="dxa"/>
            <w:bottom w:w="0" w:type="dxa"/>
            <w:right w:w="0" w:type="dxa"/>
          </w:tblCellMar>
        </w:tblPrEx>
        <w:trPr>
          <w:trHeight w:val="850"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珠海市香洲区南屏镇广昌社区卫生服务</w:t>
            </w:r>
            <w:r>
              <w:rPr>
                <w:rStyle w:val="23"/>
                <w:rFonts w:ascii="仿宋" w:hAnsi="仿宋" w:eastAsia="仿宋" w:cs="仿宋"/>
                <w:color w:val="auto"/>
                <w:sz w:val="28"/>
                <w:szCs w:val="28"/>
                <w:lang w:val="en-US" w:eastAsia="zh-CN" w:bidi="ar"/>
              </w:rPr>
              <w:t>站</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7</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28600</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r>
      <w:tr>
        <w:tblPrEx>
          <w:tblCellMar>
            <w:top w:w="0" w:type="dxa"/>
            <w:left w:w="0" w:type="dxa"/>
            <w:bottom w:w="0" w:type="dxa"/>
            <w:right w:w="0" w:type="dxa"/>
          </w:tblCellMar>
        </w:tblPrEx>
        <w:trPr>
          <w:trHeight w:val="850"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珠海市香洲区南屏镇广生社区卫生服务</w:t>
            </w:r>
            <w:r>
              <w:rPr>
                <w:rStyle w:val="23"/>
                <w:rFonts w:ascii="仿宋" w:hAnsi="仿宋" w:eastAsia="仿宋" w:cs="仿宋"/>
                <w:color w:val="auto"/>
                <w:sz w:val="28"/>
                <w:szCs w:val="28"/>
                <w:lang w:val="en-US" w:eastAsia="zh-CN" w:bidi="ar"/>
              </w:rPr>
              <w:t>站</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4</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12000</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c>
          <w:tcPr>
            <w:tcW w:w="13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r>
      <w:tr>
        <w:tblPrEx>
          <w:tblCellMar>
            <w:top w:w="0" w:type="dxa"/>
            <w:left w:w="0" w:type="dxa"/>
            <w:bottom w:w="0" w:type="dxa"/>
            <w:right w:w="0" w:type="dxa"/>
          </w:tblCellMar>
        </w:tblPrEx>
        <w:trPr>
          <w:trHeight w:val="850"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珠海市香洲区南屏镇东桥社区卫生服务站</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rPr>
            </w:pPr>
            <w:r>
              <w:rPr>
                <w:rFonts w:hint="eastAsia" w:ascii="仿宋" w:hAnsi="仿宋" w:eastAsia="仿宋" w:cs="仿宋"/>
                <w:i w:val="0"/>
                <w:color w:val="auto"/>
                <w:kern w:val="0"/>
                <w:sz w:val="28"/>
                <w:szCs w:val="28"/>
                <w:u w:val="none"/>
                <w:lang w:val="en-US" w:eastAsia="zh-CN" w:bidi="ar"/>
              </w:rPr>
              <w:t>4</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sz w:val="28"/>
                <w:szCs w:val="28"/>
                <w:u w:val="none"/>
                <w:lang w:val="en-US"/>
              </w:rPr>
            </w:pPr>
            <w:r>
              <w:rPr>
                <w:rFonts w:hint="eastAsia" w:ascii="仿宋" w:hAnsi="仿宋" w:eastAsia="仿宋" w:cs="仿宋"/>
                <w:i w:val="0"/>
                <w:color w:val="auto"/>
                <w:kern w:val="0"/>
                <w:sz w:val="28"/>
                <w:szCs w:val="28"/>
                <w:u w:val="none"/>
                <w:lang w:val="en-US" w:eastAsia="zh-CN" w:bidi="ar"/>
              </w:rPr>
              <w:t>5000</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c>
          <w:tcPr>
            <w:tcW w:w="137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r>
      <w:tr>
        <w:tblPrEx>
          <w:tblCellMar>
            <w:top w:w="0" w:type="dxa"/>
            <w:left w:w="0" w:type="dxa"/>
            <w:bottom w:w="0" w:type="dxa"/>
            <w:right w:w="0" w:type="dxa"/>
          </w:tblCellMar>
        </w:tblPrEx>
        <w:trPr>
          <w:trHeight w:val="850"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南屏科技工业园社区卫生站（在建）</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4</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新开</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c>
          <w:tcPr>
            <w:tcW w:w="137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8"/>
                <w:szCs w:val="28"/>
                <w:u w:val="none"/>
                <w:lang w:val="en-US" w:eastAsia="zh-CN"/>
              </w:rPr>
            </w:pPr>
            <w:r>
              <w:rPr>
                <w:rFonts w:hint="eastAsia" w:ascii="仿宋" w:hAnsi="仿宋" w:eastAsia="仿宋" w:cs="仿宋"/>
                <w:i w:val="0"/>
                <w:color w:val="auto"/>
                <w:sz w:val="28"/>
                <w:szCs w:val="28"/>
                <w:u w:val="none"/>
                <w:lang w:val="en-US" w:eastAsia="zh-CN"/>
              </w:rPr>
              <w:t>/</w:t>
            </w:r>
          </w:p>
        </w:tc>
      </w:tr>
      <w:tr>
        <w:tblPrEx>
          <w:tblCellMar>
            <w:top w:w="0" w:type="dxa"/>
            <w:left w:w="0" w:type="dxa"/>
            <w:bottom w:w="0" w:type="dxa"/>
            <w:right w:w="0" w:type="dxa"/>
          </w:tblCellMar>
        </w:tblPrEx>
        <w:trPr>
          <w:trHeight w:val="567" w:hRule="atLeast"/>
        </w:trPr>
        <w:tc>
          <w:tcPr>
            <w:tcW w:w="357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合计</w:t>
            </w:r>
          </w:p>
        </w:tc>
        <w:tc>
          <w:tcPr>
            <w:tcW w:w="15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277</w:t>
            </w:r>
          </w:p>
        </w:tc>
        <w:tc>
          <w:tcPr>
            <w:tcW w:w="20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bCs/>
                <w:i w:val="0"/>
                <w:color w:val="auto"/>
                <w:sz w:val="28"/>
                <w:szCs w:val="28"/>
                <w:u w:val="none"/>
              </w:rPr>
            </w:pPr>
            <w:r>
              <w:rPr>
                <w:rFonts w:hint="eastAsia" w:ascii="仿宋" w:hAnsi="仿宋" w:eastAsia="仿宋" w:cs="仿宋"/>
                <w:b/>
                <w:bCs/>
                <w:i w:val="0"/>
                <w:color w:val="auto"/>
                <w:kern w:val="0"/>
                <w:sz w:val="28"/>
                <w:szCs w:val="28"/>
                <w:u w:val="none"/>
                <w:lang w:val="en-US" w:eastAsia="zh-CN" w:bidi="ar"/>
              </w:rPr>
              <w:t>368188</w:t>
            </w:r>
          </w:p>
        </w:tc>
        <w:tc>
          <w:tcPr>
            <w:tcW w:w="91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b/>
                <w:bCs/>
                <w:i w:val="0"/>
                <w:color w:val="auto"/>
                <w:sz w:val="28"/>
                <w:szCs w:val="28"/>
                <w:u w:val="none"/>
                <w:lang w:val="en-US"/>
              </w:rPr>
            </w:pPr>
            <w:r>
              <w:rPr>
                <w:rFonts w:hint="eastAsia" w:ascii="仿宋" w:hAnsi="仿宋" w:eastAsia="仿宋" w:cs="仿宋"/>
                <w:b/>
                <w:bCs/>
                <w:i w:val="0"/>
                <w:color w:val="auto"/>
                <w:kern w:val="0"/>
                <w:sz w:val="28"/>
                <w:szCs w:val="28"/>
                <w:u w:val="none"/>
                <w:lang w:val="en-US" w:eastAsia="zh-CN" w:bidi="ar"/>
              </w:rPr>
              <w:t>172</w:t>
            </w:r>
          </w:p>
        </w:tc>
        <w:tc>
          <w:tcPr>
            <w:tcW w:w="137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color w:val="auto"/>
                <w:sz w:val="28"/>
                <w:szCs w:val="28"/>
                <w:u w:val="none"/>
                <w:lang w:val="en-US"/>
              </w:rPr>
            </w:pPr>
            <w:r>
              <w:rPr>
                <w:rFonts w:hint="eastAsia" w:ascii="仿宋" w:hAnsi="仿宋" w:eastAsia="仿宋" w:cs="仿宋"/>
                <w:b/>
                <w:bCs/>
                <w:i w:val="0"/>
                <w:color w:val="auto"/>
                <w:kern w:val="0"/>
                <w:sz w:val="28"/>
                <w:szCs w:val="28"/>
                <w:u w:val="none"/>
                <w:lang w:val="en-US" w:eastAsia="zh-CN" w:bidi="ar"/>
              </w:rPr>
              <w:t>5508</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t>三、项目需求</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一）为高效化解医疗纠纷案件，充分保障医疗机构的正常诊疗秩序，并体现构建和谐社会之精神，对于赔偿金额在人民币1万元及以下（含1万元）的医疗纠纷案件，以及对于被保险人或者其临床医务人员在从事与其资格相符的诊疗活动中存在过错但没有造成患者人身损害的情况，赔偿金额在人民币1万元以下（含1万元）的医疗纠纷案件，被保险人完全有权自主处理与患方达成赔偿协议，被保险人与患方达成赔偿协议后，保险人应根据此赔偿协议进行保险赔付。保险年度被保险人通过自行和解方式处理此类案件的赔偿金额累计不超过应缴保费的10%。</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二）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三）经投保人与保险人协商一致，保险人同意本保险采用临床医务人员不记名的方式投保，被保险人的投保临床医务人员数达到实际应投保临床医务人员数的90%以上（含90%）属于足额投保，低于90%的属不足额投保，当被保险人的实际临床医务人员数变更（增加或减少了投保临床医务人员数超过的10%）时，被保险人应及时向保险人申报变更后的临床医务人员数，保险人根据实际增加或减少的临床医务人员数以及保险期间的剩余期限增加或退还相应的保险费。</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四）经投保人与保险人协商一致，在保险单中列明的保险期间内，在被保险人处进行实习的医学生和试用期医学毕业生及进修的临床医务人员，经临床带教教师或者指导医师同意并按照临床带教教师或者指导医师的要求在从事诊疗活动过程中造成患者人身损害的，患者或者其近亲属或者其代理人在保险期间内首次向被保险人提出损害赔偿请求，依照相应法律法规及规范应由被保险人承担经济赔偿责任的，保险人按照保险合同约定负责赔偿。</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五）经投保人与保险人协商一致，保险人同意将被保险人根据外聘合同聘用以及根据卫生行政部门制定的帮扶政策聘用的外聘临床医务人员、或正常会诊的非本医疗机构的临床医务人员视为被保险人的临床医务人员。</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六）在保险单中列明的保险期间内，按照被保险人轮岗管理制度要求的临床医务人员，在轮岗期间从事诊疗活动过程中造成患者人身损害的，患者或者其近亲属或者其代理人在保险期间内向被保险人提出损害赔偿请求，依照相应法律法规及规范应由被保险人承担的经济赔偿责任，保险人按照保险合同约定负责赔偿。</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（七）被保险人聘用的临床医务人员，在注册或变更注册期间发生的保险事故，属于保险责任范围。</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八）被保险人因医疗纠纷处理（包含自行和解和人民调解）过程中，为了查明医疗纠纷原因和损失产生的鉴定费以及其他必要的、合理的费用，保险人按保险合同约定的法律费用限额内负责赔偿。医疗纠纷是指医患双方因诊疗活动引发的争议。</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（九）被保险人向保险人请求赔偿保险金的诉讼时效期间为三年，自被保险人对第三者应负的赔偿责任确定之日起计算。</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十）发生可能引起保险合同项下赔偿的情形时，被保险人作为被告或者第三人被提起诉讼或者仲裁，对应由被保险人支付的法律费用：包括仲裁或诉讼费用（包含可能产生的案件受理费、勘验费、鉴定费、律师费、解剖费等）以及其他必要的、合理的费用（包括代表被保险人参加医疗损害鉴定或医疗事故鉴定或庭审的人员因参加上述活动而产生的差旅费以及专家咨询费），保险人按照保险合同约定每次事故法律费用赔偿限额及法律费用累计赔偿限额内负责赔偿。</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（十一）保险合同约定的医患纠纷人民调解委员会为各级司法行政管理部门认定的医患纠纷人民调解委员会。</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十二）“诊疗活动”包括在保险合同中列明的保险期间内，被保险人或者其临床医务人员在被保险人自营平台从事与其资格相符的互联网诊疗活动中造成患者人身损害，患者或者其近亲属或者其代理人在保险期间内向被保险人提出损害赔偿请求，依照相应法律（不包括港、澳、台地区法律）、法规及规范应由被保险人承担经济赔偿责任，保险人按照保险合同约定负责赔偿。</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（十三）发生案件后，接到被保险通知后，立即响应，1小时内到达现场。</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（十四）保险人对患者进行直接理赔。</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（十五）赔偿保额</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1.珠海市香洲区第二人民医院赔偿保额</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（1）</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每人每次事故赔偿限额(含法律费用)50万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（2）</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累计赔偿限额(含法律费用)500万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（3）</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法律费用每人每次事故赔偿限额5万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（4）</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法律费用累计赔偿限额50万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2.社区卫生服务中心及社区卫生服务站赔偿保额</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（1）</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每人每次事故赔偿限额(含法律费用)30万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（2）</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累计赔偿限额(含法律费用)100万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（3）</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法律费用每人每次事故赔偿限额3万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pStyle w:val="3"/>
        <w:keepNext w:val="0"/>
        <w:keepLines w:val="0"/>
        <w:pageBreakBefore w:val="0"/>
        <w:widowControl w:val="0"/>
        <w:kinsoku/>
        <w:wordWrap/>
        <w:overflowPunct/>
        <w:topLinePunct w:val="0"/>
        <w:autoSpaceDE w:val="0"/>
        <w:autoSpaceDN w:val="0"/>
        <w:bidi w:val="0"/>
        <w:adjustRightInd/>
        <w:snapToGrid/>
        <w:spacing w:after="0" w:line="579" w:lineRule="exact"/>
        <w:ind w:left="0" w:leftChars="0" w:firstLine="640" w:firstLineChars="200"/>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（4）</w:t>
      </w:r>
      <w:r>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t>法律费用累计赔偿限额6万</w:t>
      </w:r>
      <w:r>
        <w:rPr>
          <w:rFonts w:hint="eastAsia" w:ascii="仿宋" w:hAnsi="仿宋" w:eastAsia="仿宋" w:cs="仿宋"/>
          <w:color w:val="000000" w:themeColor="text1"/>
          <w:spacing w:val="0"/>
          <w:kern w:val="0"/>
          <w:sz w:val="32"/>
          <w:szCs w:val="32"/>
          <w:highlight w:val="none"/>
          <w:lang w:val="en-US" w:eastAsia="zh-CN" w:bidi="ar"/>
          <w14:textFill>
            <w14:solidFill>
              <w14:schemeClr w14:val="tx1"/>
            </w14:solidFill>
          </w14:textFill>
        </w:rPr>
        <w:t>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i w:val="0"/>
          <w:iCs w:val="0"/>
          <w:caps w:val="0"/>
          <w:color w:val="333333"/>
          <w:spacing w:val="0"/>
          <w:sz w:val="28"/>
          <w:szCs w:val="28"/>
          <w:shd w:val="clear" w:fill="FFFFFF"/>
        </w:rPr>
      </w:pPr>
    </w:p>
    <w:p>
      <w:pPr>
        <w:pStyle w:val="9"/>
        <w:rPr>
          <w:rFonts w:hint="eastAsia" w:ascii="仿宋" w:hAnsi="仿宋" w:eastAsia="仿宋" w:cs="仿宋"/>
          <w:sz w:val="32"/>
          <w:szCs w:val="32"/>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说明：参与供应商应提供法定代表人（或者负责人）身份证明复印件。</w:t>
      </w:r>
    </w:p>
    <w:tbl>
      <w:tblPr>
        <w:tblStyle w:val="11"/>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市场调研</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说明：参与供应商应提供被授权人身份证明复印件。</w:t>
      </w:r>
    </w:p>
    <w:tbl>
      <w:tblPr>
        <w:tblStyle w:val="11"/>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11"/>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4"/>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4"/>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珠海市香洲区第二人民医院2026年度医疗责任险采购项目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市场调研报价表1.1</w:t>
      </w:r>
    </w:p>
    <w:p>
      <w:pPr>
        <w:spacing w:after="120" w:line="360" w:lineRule="auto"/>
        <w:jc w:val="center"/>
        <w:rPr>
          <w:rFonts w:hint="eastAsia" w:ascii="宋体" w:hAnsi="宋体" w:cs="宋体"/>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01"/>
        <w:gridCol w:w="1862"/>
        <w:gridCol w:w="2006"/>
        <w:gridCol w:w="15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3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color w:val="000000"/>
                <w:lang w:val="en-US" w:eastAsia="zh-CN"/>
              </w:rPr>
            </w:pPr>
            <w:r>
              <w:rPr>
                <w:rFonts w:hint="eastAsia" w:ascii="宋体" w:hAnsi="宋体"/>
                <w:b/>
                <w:color w:val="000000"/>
                <w:lang w:val="en-US" w:eastAsia="zh-CN"/>
              </w:rPr>
              <w:t>项目名称</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b/>
                <w:color w:val="000000"/>
                <w:lang w:val="en-US" w:eastAsia="zh-CN"/>
              </w:rPr>
            </w:pPr>
            <w:r>
              <w:rPr>
                <w:rFonts w:hint="eastAsia" w:ascii="宋体" w:hAnsi="宋体"/>
                <w:b/>
                <w:color w:val="000000"/>
                <w:lang w:val="en-US" w:eastAsia="zh-CN"/>
              </w:rPr>
              <w:t>报价（元）</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b/>
                <w:color w:val="000000"/>
                <w:lang w:val="en-US" w:eastAsia="zh-CN"/>
              </w:rPr>
            </w:pPr>
            <w:r>
              <w:rPr>
                <w:rFonts w:hint="eastAsia" w:ascii="宋体" w:hAnsi="宋体"/>
                <w:b/>
                <w:color w:val="000000"/>
                <w:lang w:val="en-US" w:eastAsia="zh-CN"/>
              </w:rPr>
              <w:t>合计（元）</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b/>
                <w:color w:val="000000"/>
                <w:kern w:val="2"/>
                <w:sz w:val="21"/>
                <w:szCs w:val="24"/>
                <w:lang w:val="en-US" w:eastAsia="zh-CN" w:bidi="ar-SA"/>
              </w:rPr>
            </w:pPr>
            <w:r>
              <w:rPr>
                <w:rFonts w:hint="eastAsia" w:ascii="宋体" w:hAnsi="宋体" w:cs="Times New Roman"/>
                <w:b/>
                <w:color w:val="000000"/>
                <w:kern w:val="2"/>
                <w:sz w:val="21"/>
                <w:szCs w:val="24"/>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33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lang w:val="en-US" w:eastAsia="zh-CN"/>
              </w:rPr>
            </w:pP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val="0"/>
                <w:color w:val="auto"/>
                <w:kern w:val="0"/>
                <w:sz w:val="21"/>
                <w:szCs w:val="21"/>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color w:val="000000"/>
                <w:lang w:val="en-US" w:eastAsia="zh-CN"/>
              </w:rPr>
            </w:pPr>
          </w:p>
        </w:tc>
      </w:tr>
    </w:tbl>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jc w:val="both"/>
        <w:rPr>
          <w:rFonts w:hint="eastAsia" w:ascii="宋体" w:hAnsi="宋体" w:cs="宋体"/>
          <w:szCs w:val="21"/>
        </w:rPr>
      </w:pPr>
      <w:r>
        <w:rPr>
          <w:rFonts w:hint="eastAsia" w:ascii="宋体" w:hAnsi="宋体" w:cs="宋体"/>
          <w:szCs w:val="21"/>
        </w:rPr>
        <w:t>备注：中文大写金额用汉字，如壹、贰、叁、肆、伍、陆、柒、捌、玖、拾、佰、仟、万、亿、元、角、分、零、整（正）等。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珠海市香洲区第二人民医院2026年度医疗责任险采购项目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市场调研分项报价表1.2</w:t>
      </w:r>
    </w:p>
    <w:p>
      <w:pPr>
        <w:pStyle w:val="4"/>
        <w:rPr>
          <w:lang w:val="en-US"/>
        </w:rPr>
      </w:pPr>
    </w:p>
    <w:tbl>
      <w:tblPr>
        <w:tblStyle w:val="11"/>
        <w:tblW w:w="52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222"/>
        <w:gridCol w:w="1844"/>
        <w:gridCol w:w="1446"/>
        <w:gridCol w:w="1626"/>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单位名称</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b/>
                <w:color w:val="000000"/>
                <w:lang w:val="en-US" w:eastAsia="zh-CN"/>
              </w:rPr>
              <w:t>项目名称</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rPr>
            </w:pPr>
            <w:r>
              <w:rPr>
                <w:rFonts w:hint="eastAsia" w:ascii="宋体" w:hAnsi="宋体"/>
                <w:b/>
                <w:color w:val="000000"/>
                <w:lang w:val="en-US" w:eastAsia="zh-CN"/>
              </w:rPr>
              <w:t>报价（元）</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r>
              <w:rPr>
                <w:rFonts w:hint="eastAsia" w:ascii="宋体" w:hAnsi="宋体"/>
                <w:b/>
                <w:color w:val="000000"/>
                <w:lang w:val="en-US" w:eastAsia="zh-CN"/>
              </w:rPr>
              <w:t>合计（元）</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Times New Roman"/>
                <w:b/>
                <w:color w:val="000000"/>
                <w:kern w:val="2"/>
                <w:sz w:val="21"/>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after="120" w:line="360" w:lineRule="auto"/>
        <w:jc w:val="both"/>
        <w:rPr>
          <w:rFonts w:hint="eastAsia" w:ascii="宋体" w:hAnsi="宋体" w:cs="宋体"/>
        </w:rPr>
      </w:pPr>
    </w:p>
    <w:p>
      <w:pPr>
        <w:spacing w:after="120" w:line="240" w:lineRule="auto"/>
        <w:jc w:val="both"/>
        <w:rPr>
          <w:rFonts w:ascii="宋体" w:hAnsi="宋体" w:cs="宋体"/>
        </w:rPr>
      </w:pPr>
      <w:r>
        <w:rPr>
          <w:rFonts w:hint="eastAsia" w:ascii="宋体" w:hAnsi="宋体" w:cs="宋体"/>
        </w:rPr>
        <w:t xml:space="preserve">报价单位授权代表签字或签章：          </w:t>
      </w:r>
    </w:p>
    <w:p>
      <w:pPr>
        <w:spacing w:after="120" w:line="240" w:lineRule="auto"/>
        <w:jc w:val="both"/>
        <w:rPr>
          <w:rFonts w:ascii="宋体" w:hAnsi="宋体" w:cs="宋体"/>
        </w:rPr>
      </w:pPr>
      <w:r>
        <w:rPr>
          <w:rFonts w:hint="eastAsia" w:ascii="宋体" w:hAnsi="宋体" w:cs="宋体"/>
        </w:rPr>
        <w:t xml:space="preserve">报价单位名称（加盖投标人公章）：                   </w:t>
      </w:r>
    </w:p>
    <w:p>
      <w:pPr>
        <w:spacing w:after="120" w:line="240" w:lineRule="auto"/>
        <w:jc w:val="both"/>
        <w:rPr>
          <w:rFonts w:ascii="宋体" w:hAnsi="宋体" w:cs="宋体"/>
          <w:b/>
          <w:bCs/>
        </w:rPr>
      </w:pPr>
      <w:r>
        <w:rPr>
          <w:rFonts w:hint="eastAsia" w:ascii="宋体" w:hAnsi="宋体" w:cs="宋体"/>
        </w:rPr>
        <w:t xml:space="preserve">日期：              </w:t>
      </w:r>
    </w:p>
    <w:p>
      <w:pPr>
        <w:widowControl w:val="0"/>
        <w:tabs>
          <w:tab w:val="left" w:pos="654"/>
          <w:tab w:val="left" w:pos="1734"/>
          <w:tab w:val="left" w:pos="2814"/>
          <w:tab w:val="left" w:pos="3894"/>
          <w:tab w:val="left" w:pos="5334"/>
          <w:tab w:val="left" w:pos="6414"/>
          <w:tab w:val="left" w:pos="7254"/>
          <w:tab w:val="left" w:pos="8574"/>
          <w:tab w:val="left" w:pos="9654"/>
        </w:tabs>
        <w:spacing w:line="240" w:lineRule="auto"/>
        <w:ind w:firstLine="315" w:firstLineChars="150"/>
        <w:jc w:val="both"/>
        <w:rPr>
          <w:lang w:val="en-US"/>
        </w:rPr>
      </w:pPr>
      <w:r>
        <w:rPr>
          <w:rFonts w:hint="eastAsia" w:ascii="宋体" w:hAnsi="宋体" w:cs="宋体"/>
          <w:szCs w:val="21"/>
        </w:rPr>
        <w:t>备注：中文大写金额用汉字，如壹、贰、叁、肆、伍、陆、柒、捌、玖、拾、佰、仟、万、亿、元、角、分、零、整（正）等。</w:t>
      </w:r>
    </w:p>
    <w:p>
      <w:pPr>
        <w:rPr>
          <w:lang w:val="en-US"/>
        </w:rPr>
      </w:pPr>
      <w:r>
        <w:rPr>
          <w:lang w:val="en-US"/>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附件6</w:t>
      </w:r>
    </w:p>
    <w:p>
      <w:pPr>
        <w:widowControl w:val="0"/>
        <w:autoSpaceDE/>
        <w:autoSpaceDN/>
        <w:spacing w:before="0" w:after="0" w:line="360" w:lineRule="auto"/>
        <w:ind w:left="0" w:right="0" w:firstLine="0" w:firstLineChars="0"/>
        <w:jc w:val="center"/>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中小企业声明函</w:t>
      </w:r>
      <w:r>
        <w:rPr>
          <w:rFonts w:hint="eastAsia" w:ascii="Times New Roman" w:hAnsi="宋体" w:eastAsia="宋体" w:cs="Times New Roman"/>
          <w:b/>
          <w:bCs/>
          <w:kern w:val="2"/>
          <w:sz w:val="24"/>
          <w:szCs w:val="24"/>
          <w:lang w:val="en-US" w:eastAsia="zh-CN" w:bidi="ar-SA"/>
        </w:rPr>
        <w:t>（参考格式）</w:t>
      </w:r>
    </w:p>
    <w:p>
      <w:pPr>
        <w:ind w:firstLine="480"/>
        <w:jc w:val="left"/>
        <w:outlineLvl w:val="9"/>
        <w:rPr>
          <w:rFonts w:hint="eastAsia" w:ascii="Calibri" w:hAnsi="Calibri" w:eastAsia="宋体" w:cs="Times New Roman"/>
          <w:b/>
          <w:sz w:val="24"/>
          <w:lang w:val="en-US" w:eastAsia="zh-Hans"/>
        </w:rPr>
      </w:pPr>
      <w:r>
        <w:rPr>
          <w:rFonts w:hint="eastAsia" w:ascii="Calibri" w:hAnsi="Calibri" w:eastAsia="宋体" w:cs="Times New Roman"/>
          <w:lang w:val="en-US" w:eastAsia="zh-Hans"/>
        </w:rPr>
        <w:t>（以下格式文件由供应商根据需要选用</w:t>
      </w:r>
      <w:r>
        <w:rPr>
          <w:rFonts w:hint="eastAsia" w:ascii="Calibri" w:hAnsi="Calibri" w:eastAsia="宋体" w:cs="Times New Roman"/>
          <w:lang w:val="en-US" w:eastAsia="zh-CN"/>
        </w:rPr>
        <w:t>，</w:t>
      </w:r>
      <w:r>
        <w:rPr>
          <w:rFonts w:hint="eastAsia" w:ascii="Calibri" w:hAnsi="Calibri" w:eastAsia="宋体" w:cs="Times New Roman"/>
          <w:lang w:val="en-US" w:eastAsia="zh-Hans"/>
        </w:rPr>
        <w:t>所投</w:t>
      </w:r>
      <w:r>
        <w:rPr>
          <w:rFonts w:hint="eastAsia" w:ascii="Calibri" w:hAnsi="Calibri" w:eastAsia="宋体" w:cs="Times New Roman"/>
          <w:lang w:val="en-US" w:eastAsia="zh-CN"/>
        </w:rPr>
        <w:t>供应商</w:t>
      </w:r>
      <w:r>
        <w:rPr>
          <w:rFonts w:hint="eastAsia" w:ascii="Calibri" w:hAnsi="Calibri" w:eastAsia="宋体" w:cs="Times New Roman"/>
          <w:lang w:val="en-US" w:eastAsia="zh-Hans"/>
        </w:rPr>
        <w:t>为中小企业时提交本函，所属行业应符合采购文件中明确的本项目所属行业）</w:t>
      </w:r>
    </w:p>
    <w:p>
      <w:pPr>
        <w:spacing w:line="360" w:lineRule="auto"/>
        <w:jc w:val="center"/>
        <w:outlineLvl w:val="3"/>
        <w:rPr>
          <w:rFonts w:hint="eastAsia" w:ascii="Calibri" w:hAnsi="Calibri" w:eastAsia="宋体" w:cs="Times New Roman"/>
          <w:b/>
          <w:sz w:val="24"/>
          <w:lang w:val="en-US" w:eastAsia="zh-Hans"/>
        </w:rPr>
      </w:pPr>
    </w:p>
    <w:p>
      <w:pPr>
        <w:spacing w:line="360" w:lineRule="auto"/>
        <w:jc w:val="center"/>
        <w:outlineLvl w:val="3"/>
        <w:rPr>
          <w:rFonts w:hint="eastAsia" w:ascii="Calibri" w:hAnsi="Calibri" w:eastAsia="宋体" w:cs="Times New Roman"/>
          <w:lang w:val="en-US" w:eastAsia="zh-Hans"/>
        </w:rPr>
      </w:pPr>
      <w:r>
        <w:rPr>
          <w:rFonts w:hint="eastAsia" w:ascii="Calibri" w:hAnsi="Calibri" w:eastAsia="宋体" w:cs="Times New Roman"/>
          <w:b/>
          <w:sz w:val="24"/>
          <w:lang w:val="en-US" w:eastAsia="zh-Hans"/>
        </w:rPr>
        <w:t>中小企业声明函（工程、服务）</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本公司郑重声明，根据《政府采购促进中小企业发展管理办法》（财库﹝2020﹞46号）的规定，本公司参加</w:t>
      </w:r>
      <w:r>
        <w:rPr>
          <w:rFonts w:hint="eastAsia" w:ascii="Calibri" w:hAnsi="Calibri" w:eastAsia="宋体" w:cs="Times New Roman"/>
          <w:u w:val="single"/>
          <w:lang w:val="en-US" w:eastAsia="zh-Hans"/>
        </w:rPr>
        <w:t>（单位名称）</w:t>
      </w:r>
      <w:r>
        <w:rPr>
          <w:rFonts w:hint="eastAsia" w:ascii="Calibri" w:hAnsi="Calibri" w:eastAsia="宋体" w:cs="Times New Roman"/>
          <w:lang w:val="en-US" w:eastAsia="zh-Hans"/>
        </w:rPr>
        <w:t>的</w:t>
      </w:r>
      <w:r>
        <w:rPr>
          <w:rFonts w:hint="eastAsia" w:ascii="Calibri" w:hAnsi="Calibri" w:eastAsia="宋体" w:cs="Times New Roman"/>
          <w:u w:val="single"/>
          <w:lang w:val="en-US" w:eastAsia="zh-Hans"/>
        </w:rPr>
        <w:t>（项目名称）</w:t>
      </w:r>
      <w:r>
        <w:rPr>
          <w:rFonts w:hint="eastAsia" w:ascii="Calibri" w:hAnsi="Calibri" w:eastAsia="宋体" w:cs="Times New Roman"/>
          <w:lang w:val="en-US" w:eastAsia="zh-Hans"/>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2.</w:t>
      </w:r>
      <w:r>
        <w:rPr>
          <w:rFonts w:hint="eastAsia" w:ascii="Calibri" w:hAnsi="Calibri" w:eastAsia="宋体" w:cs="Times New Roman"/>
          <w:u w:val="single"/>
          <w:lang w:val="en-US" w:eastAsia="zh-Hans"/>
        </w:rPr>
        <w:t>（标的名称）</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（采购文件中明确的所属行业）</w:t>
      </w:r>
      <w:r>
        <w:rPr>
          <w:rFonts w:hint="eastAsia" w:ascii="Calibri" w:hAnsi="Calibri" w:eastAsia="宋体" w:cs="Times New Roman"/>
          <w:lang w:val="en-US" w:eastAsia="zh-Hans"/>
        </w:rPr>
        <w:t>行业；承建（承接）企业为</w:t>
      </w:r>
      <w:r>
        <w:rPr>
          <w:rFonts w:hint="eastAsia" w:ascii="Calibri" w:hAnsi="Calibri" w:eastAsia="宋体" w:cs="Times New Roman"/>
          <w:u w:val="single"/>
          <w:lang w:val="en-US" w:eastAsia="zh-Hans"/>
        </w:rPr>
        <w:t>（企业名称）</w:t>
      </w:r>
      <w:r>
        <w:rPr>
          <w:rFonts w:hint="eastAsia" w:ascii="Calibri" w:hAnsi="Calibri" w:eastAsia="宋体" w:cs="Times New Roman"/>
          <w:lang w:val="en-US" w:eastAsia="zh-Hans"/>
        </w:rPr>
        <w:t>，从业人员__________________人，营业收入为__________________万元，资产总额为__________________万元</w:t>
      </w:r>
      <w:r>
        <w:rPr>
          <w:rFonts w:hint="eastAsia" w:ascii="Calibri" w:hAnsi="Calibri" w:eastAsia="宋体" w:cs="Times New Roman"/>
          <w:sz w:val="7"/>
          <w:lang w:val="en-US" w:eastAsia="zh-Hans"/>
        </w:rPr>
        <w:t>1</w:t>
      </w:r>
      <w:r>
        <w:rPr>
          <w:rFonts w:hint="eastAsia" w:ascii="Calibri" w:hAnsi="Calibri" w:eastAsia="宋体" w:cs="Times New Roman"/>
          <w:lang w:val="en-US" w:eastAsia="zh-Hans"/>
        </w:rPr>
        <w:t>，属于</w:t>
      </w:r>
      <w:r>
        <w:rPr>
          <w:rFonts w:hint="eastAsia" w:ascii="Calibri" w:hAnsi="Calibri" w:eastAsia="宋体" w:cs="Times New Roman"/>
          <w:u w:val="single"/>
          <w:lang w:val="en-US" w:eastAsia="zh-Hans"/>
        </w:rPr>
        <w:t>（中型企业、小型企业、微型企业）</w:t>
      </w: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以上企业，不属于大企业的分支机构，不存在控股股东为大企业的情形，也不存在与大企业的负责人为同一人的情形。</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本企业对上述声明内容的真实性负责。如有虚假，将依法承担相应责任。</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企业名称（盖章）：__________________</w:t>
      </w:r>
    </w:p>
    <w:p>
      <w:pPr>
        <w:spacing w:line="360" w:lineRule="auto"/>
        <w:rPr>
          <w:rFonts w:hint="eastAsia" w:ascii="Calibri" w:hAnsi="Calibri" w:eastAsia="宋体" w:cs="Times New Roman"/>
          <w:lang w:val="en-US" w:eastAsia="zh-Hans"/>
        </w:rPr>
      </w:pPr>
      <w:r>
        <w:rPr>
          <w:rFonts w:hint="eastAsia" w:ascii="Calibri" w:hAnsi="Calibri" w:eastAsia="宋体" w:cs="Times New Roman"/>
          <w:lang w:val="en-US" w:eastAsia="zh-Hans"/>
        </w:rPr>
        <w:t xml:space="preserve"> 日期： 年 月 日</w:t>
      </w:r>
    </w:p>
    <w:p>
      <w:pPr>
        <w:spacing w:line="360" w:lineRule="auto"/>
        <w:ind w:firstLine="480"/>
        <w:rPr>
          <w:rFonts w:hint="eastAsia" w:ascii="Calibri" w:hAnsi="Calibri" w:eastAsia="宋体" w:cs="Times New Roman"/>
          <w:lang w:val="en-US" w:eastAsia="zh-Hans"/>
        </w:rPr>
      </w:pPr>
      <w:r>
        <w:rPr>
          <w:rFonts w:hint="eastAsia" w:ascii="Calibri" w:hAnsi="Calibri" w:eastAsia="宋体" w:cs="Times New Roman"/>
          <w:lang w:val="en-US" w:eastAsia="zh-Hans"/>
        </w:rPr>
        <w:t>1：从业人员、营业收入、资产总额填报上一年度数据，无上一年度数据的新成立企业可不填报。</w:t>
      </w:r>
    </w:p>
    <w:p>
      <w:pPr>
        <w:spacing w:line="360" w:lineRule="auto"/>
        <w:ind w:firstLine="480"/>
      </w:pPr>
      <w:r>
        <w:rPr>
          <w:rFonts w:hint="eastAsia" w:ascii="Calibri" w:hAnsi="Calibri" w:eastAsia="宋体" w:cs="Times New Roman"/>
          <w:lang w:val="en-US" w:eastAsia="zh-Hans"/>
        </w:rPr>
        <w:t>2：投标人应当自行核实是否属于小微企业，并认真填写声明函，若有虚假将追究其责任。</w:t>
      </w:r>
    </w:p>
    <w:p>
      <w:pPr>
        <w:pStyle w:val="6"/>
        <w:rPr>
          <w:rFonts w:hint="eastAsia"/>
        </w:rPr>
      </w:pPr>
    </w:p>
    <w:p>
      <w:pPr>
        <w:pStyle w:val="5"/>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A81B34"/>
    <w:rsid w:val="00FF3310"/>
    <w:rsid w:val="016844D0"/>
    <w:rsid w:val="033405E9"/>
    <w:rsid w:val="035C1F7D"/>
    <w:rsid w:val="035F3636"/>
    <w:rsid w:val="04E9501D"/>
    <w:rsid w:val="04F71EE0"/>
    <w:rsid w:val="07895671"/>
    <w:rsid w:val="084A59C2"/>
    <w:rsid w:val="088C4380"/>
    <w:rsid w:val="09754C7B"/>
    <w:rsid w:val="0A782CB2"/>
    <w:rsid w:val="0BBC2D2F"/>
    <w:rsid w:val="0D7D12A8"/>
    <w:rsid w:val="0E6F5449"/>
    <w:rsid w:val="0E8D6E57"/>
    <w:rsid w:val="0F4D4DE6"/>
    <w:rsid w:val="10130D48"/>
    <w:rsid w:val="10190F86"/>
    <w:rsid w:val="103C4DCE"/>
    <w:rsid w:val="1134209D"/>
    <w:rsid w:val="11925B9F"/>
    <w:rsid w:val="11D34A91"/>
    <w:rsid w:val="13172CDE"/>
    <w:rsid w:val="14417F2B"/>
    <w:rsid w:val="144860BC"/>
    <w:rsid w:val="158D571D"/>
    <w:rsid w:val="15DF7E99"/>
    <w:rsid w:val="160C1AC5"/>
    <w:rsid w:val="16156560"/>
    <w:rsid w:val="174043B2"/>
    <w:rsid w:val="176B01B3"/>
    <w:rsid w:val="177A26C9"/>
    <w:rsid w:val="19703EEB"/>
    <w:rsid w:val="19713CAD"/>
    <w:rsid w:val="19775DDC"/>
    <w:rsid w:val="19B1173A"/>
    <w:rsid w:val="1A6121A5"/>
    <w:rsid w:val="1A886488"/>
    <w:rsid w:val="1A986951"/>
    <w:rsid w:val="1A9B7001"/>
    <w:rsid w:val="1A9D5221"/>
    <w:rsid w:val="1B384DEE"/>
    <w:rsid w:val="1CCA283A"/>
    <w:rsid w:val="1D4328FA"/>
    <w:rsid w:val="1DBC2A58"/>
    <w:rsid w:val="1EB16472"/>
    <w:rsid w:val="1EF51F7A"/>
    <w:rsid w:val="1F651E3E"/>
    <w:rsid w:val="1FBA1115"/>
    <w:rsid w:val="20143EB1"/>
    <w:rsid w:val="201E5E9B"/>
    <w:rsid w:val="20263E35"/>
    <w:rsid w:val="20BE3311"/>
    <w:rsid w:val="20D717F2"/>
    <w:rsid w:val="224C15E2"/>
    <w:rsid w:val="227A4F8A"/>
    <w:rsid w:val="23085188"/>
    <w:rsid w:val="23605AC5"/>
    <w:rsid w:val="23D24A5F"/>
    <w:rsid w:val="24BD4C17"/>
    <w:rsid w:val="25135825"/>
    <w:rsid w:val="25195E78"/>
    <w:rsid w:val="25806D2C"/>
    <w:rsid w:val="25E246EE"/>
    <w:rsid w:val="27345D8C"/>
    <w:rsid w:val="27C93298"/>
    <w:rsid w:val="286F350A"/>
    <w:rsid w:val="28910625"/>
    <w:rsid w:val="297C1446"/>
    <w:rsid w:val="2A9A3C09"/>
    <w:rsid w:val="2BF612E4"/>
    <w:rsid w:val="2D0D3704"/>
    <w:rsid w:val="2D376058"/>
    <w:rsid w:val="2DA44F53"/>
    <w:rsid w:val="2E426ADD"/>
    <w:rsid w:val="2F67730C"/>
    <w:rsid w:val="2FE14059"/>
    <w:rsid w:val="31D04CBF"/>
    <w:rsid w:val="32AF4C35"/>
    <w:rsid w:val="33063387"/>
    <w:rsid w:val="33C95D76"/>
    <w:rsid w:val="34135E06"/>
    <w:rsid w:val="35C81BDA"/>
    <w:rsid w:val="36A962BD"/>
    <w:rsid w:val="37116F51"/>
    <w:rsid w:val="374106F2"/>
    <w:rsid w:val="375E73E5"/>
    <w:rsid w:val="37A63923"/>
    <w:rsid w:val="380C580E"/>
    <w:rsid w:val="387C185A"/>
    <w:rsid w:val="39994A84"/>
    <w:rsid w:val="3A696665"/>
    <w:rsid w:val="3A8D6B11"/>
    <w:rsid w:val="3AA7524E"/>
    <w:rsid w:val="3BA50630"/>
    <w:rsid w:val="3E0E5A86"/>
    <w:rsid w:val="3EBE64E4"/>
    <w:rsid w:val="3ED328A1"/>
    <w:rsid w:val="3FB843F3"/>
    <w:rsid w:val="410E6FDE"/>
    <w:rsid w:val="415D385D"/>
    <w:rsid w:val="41891036"/>
    <w:rsid w:val="41DC29A3"/>
    <w:rsid w:val="4362465A"/>
    <w:rsid w:val="43A15100"/>
    <w:rsid w:val="43E24A77"/>
    <w:rsid w:val="43FD1919"/>
    <w:rsid w:val="445774D6"/>
    <w:rsid w:val="44FD6334"/>
    <w:rsid w:val="44FF5223"/>
    <w:rsid w:val="456F4189"/>
    <w:rsid w:val="45FE1F53"/>
    <w:rsid w:val="46807F1B"/>
    <w:rsid w:val="46F331E8"/>
    <w:rsid w:val="47E941C7"/>
    <w:rsid w:val="47FA65A7"/>
    <w:rsid w:val="48297555"/>
    <w:rsid w:val="491757CE"/>
    <w:rsid w:val="4B4A4647"/>
    <w:rsid w:val="4C327364"/>
    <w:rsid w:val="4E3F0501"/>
    <w:rsid w:val="4E614CA7"/>
    <w:rsid w:val="50E100E3"/>
    <w:rsid w:val="515E4D86"/>
    <w:rsid w:val="531F5ECD"/>
    <w:rsid w:val="535F6294"/>
    <w:rsid w:val="53BD3A80"/>
    <w:rsid w:val="53C438DE"/>
    <w:rsid w:val="53E7372D"/>
    <w:rsid w:val="5437122A"/>
    <w:rsid w:val="5490229E"/>
    <w:rsid w:val="54C44181"/>
    <w:rsid w:val="55F66018"/>
    <w:rsid w:val="57626350"/>
    <w:rsid w:val="58B66AD4"/>
    <w:rsid w:val="5A47647E"/>
    <w:rsid w:val="5A4C3614"/>
    <w:rsid w:val="5A7E3352"/>
    <w:rsid w:val="5C082009"/>
    <w:rsid w:val="5CC0243E"/>
    <w:rsid w:val="5F6B4CFE"/>
    <w:rsid w:val="5F716A46"/>
    <w:rsid w:val="5FF7662A"/>
    <w:rsid w:val="60777FDD"/>
    <w:rsid w:val="60A23D88"/>
    <w:rsid w:val="634E16F7"/>
    <w:rsid w:val="634F4664"/>
    <w:rsid w:val="6352008A"/>
    <w:rsid w:val="641F6CF3"/>
    <w:rsid w:val="649E79F6"/>
    <w:rsid w:val="66195D1F"/>
    <w:rsid w:val="6AAC3C13"/>
    <w:rsid w:val="6B3C4644"/>
    <w:rsid w:val="6B6F5FBC"/>
    <w:rsid w:val="6BDE45BF"/>
    <w:rsid w:val="6C4064B4"/>
    <w:rsid w:val="6C785A05"/>
    <w:rsid w:val="6D2B41CC"/>
    <w:rsid w:val="6DE07BFA"/>
    <w:rsid w:val="6F47651F"/>
    <w:rsid w:val="70722363"/>
    <w:rsid w:val="716A5BEF"/>
    <w:rsid w:val="72314CE9"/>
    <w:rsid w:val="72BA48D7"/>
    <w:rsid w:val="72C2030B"/>
    <w:rsid w:val="73BB364B"/>
    <w:rsid w:val="74986821"/>
    <w:rsid w:val="74B23FAA"/>
    <w:rsid w:val="74BD7896"/>
    <w:rsid w:val="74BE405B"/>
    <w:rsid w:val="7628242E"/>
    <w:rsid w:val="76DC157B"/>
    <w:rsid w:val="771C16E4"/>
    <w:rsid w:val="77492442"/>
    <w:rsid w:val="77A449ED"/>
    <w:rsid w:val="782C06D6"/>
    <w:rsid w:val="783A413A"/>
    <w:rsid w:val="790B5926"/>
    <w:rsid w:val="79362FFC"/>
    <w:rsid w:val="7DB83F55"/>
    <w:rsid w:val="7F27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styleId="3">
    <w:name w:val="Body Text Indent 3"/>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4">
    <w:name w:val="Body Text"/>
    <w:basedOn w:val="1"/>
    <w:next w:val="1"/>
    <w:qFormat/>
    <w:uiPriority w:val="0"/>
    <w:pPr>
      <w:spacing w:after="120"/>
    </w:pPr>
    <w:rPr>
      <w:sz w:val="20"/>
    </w:rPr>
  </w:style>
  <w:style w:type="paragraph" w:styleId="5">
    <w:name w:val="Plain Text"/>
    <w:basedOn w:val="1"/>
    <w:next w:val="1"/>
    <w:qFormat/>
    <w:uiPriority w:val="0"/>
    <w:rPr>
      <w:rFonts w:ascii="宋体" w:hAnsi="Courier New" w:cs="Courier New"/>
      <w:szCs w:val="21"/>
    </w:rPr>
  </w:style>
  <w:style w:type="paragraph" w:styleId="6">
    <w:name w:val="Body Text Indent 2"/>
    <w:basedOn w:val="1"/>
    <w:qFormat/>
    <w:uiPriority w:val="0"/>
    <w:pPr>
      <w:spacing w:line="480" w:lineRule="exact"/>
      <w:ind w:left="810" w:firstLine="675"/>
    </w:pPr>
    <w:rPr>
      <w:rFonts w:eastAsia="仿宋_GB2312"/>
      <w:sz w:val="30"/>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jc w:val="center"/>
    </w:pPr>
    <w:rPr>
      <w:rFonts w:ascii="宋体" w:hAnsi="宋体"/>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41"/>
    <w:basedOn w:val="13"/>
    <w:qFormat/>
    <w:uiPriority w:val="0"/>
    <w:rPr>
      <w:rFonts w:hint="default" w:ascii="Times New Roman" w:hAnsi="Times New Roman" w:cs="Times New Roman"/>
      <w:b/>
      <w:bCs/>
      <w:color w:val="000000"/>
      <w:sz w:val="20"/>
      <w:szCs w:val="20"/>
      <w:u w:val="none"/>
    </w:rPr>
  </w:style>
  <w:style w:type="character" w:customStyle="1" w:styleId="18">
    <w:name w:val="font31"/>
    <w:basedOn w:val="13"/>
    <w:qFormat/>
    <w:uiPriority w:val="0"/>
    <w:rPr>
      <w:rFonts w:hint="eastAsia" w:ascii="宋体" w:hAnsi="宋体" w:eastAsia="宋体" w:cs="宋体"/>
      <w:b/>
      <w:bCs/>
      <w:color w:val="000000"/>
      <w:sz w:val="20"/>
      <w:szCs w:val="20"/>
      <w:u w:val="none"/>
    </w:rPr>
  </w:style>
  <w:style w:type="character" w:customStyle="1" w:styleId="19">
    <w:name w:val="font71"/>
    <w:basedOn w:val="13"/>
    <w:qFormat/>
    <w:uiPriority w:val="0"/>
    <w:rPr>
      <w:rFonts w:hint="default" w:ascii="Times New Roman" w:hAnsi="Times New Roman" w:cs="Times New Roman"/>
      <w:b/>
      <w:bCs/>
      <w:color w:val="000000"/>
      <w:sz w:val="20"/>
      <w:szCs w:val="20"/>
      <w:u w:val="none"/>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paragraph" w:customStyle="1" w:styleId="21">
    <w:name w:val="1级标题"/>
    <w:basedOn w:val="22"/>
    <w:qFormat/>
    <w:uiPriority w:val="0"/>
    <w:pPr>
      <w:spacing w:after="113" w:afterLines="0" w:line="440" w:lineRule="atLeast"/>
      <w:ind w:firstLine="425"/>
    </w:pPr>
    <w:rPr>
      <w:rFonts w:ascii="汉仪大宋简" w:eastAsia="汉仪大宋简"/>
      <w:spacing w:val="4"/>
      <w:sz w:val="26"/>
      <w:szCs w:val="26"/>
    </w:rPr>
  </w:style>
  <w:style w:type="paragraph" w:customStyle="1" w:styleId="22">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character" w:customStyle="1" w:styleId="23">
    <w:name w:val="font11"/>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13</Pages>
  <Words>426</Words>
  <Characters>460</Characters>
  <Lines>0</Lines>
  <Paragraphs>0</Paragraphs>
  <TotalTime>0</TotalTime>
  <ScaleCrop>false</ScaleCrop>
  <LinksUpToDate>false</LinksUpToDate>
  <CharactersWithSpaces>460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NS</cp:lastModifiedBy>
  <cp:lastPrinted>2025-09-09T01:35:00Z</cp:lastPrinted>
  <dcterms:modified xsi:type="dcterms:W3CDTF">2025-09-10T02:14:43Z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