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tabs>
          <w:tab w:val="center" w:pos="4156"/>
          <w:tab w:val="left" w:pos="6405"/>
        </w:tabs>
        <w:adjustRightInd w:val="0"/>
        <w:snapToGrid w:val="0"/>
        <w:spacing w:line="360" w:lineRule="auto"/>
        <w:jc w:val="center"/>
        <w:rPr>
          <w:rFonts w:hint="eastAsia" w:ascii="宋体" w:hAnsi="宋体" w:cs="宋体"/>
          <w:sz w:val="72"/>
        </w:rPr>
      </w:pPr>
      <w:r>
        <w:rPr>
          <w:rFonts w:hint="eastAsia" w:ascii="宋体" w:hAnsi="宋体" w:cs="宋体"/>
          <w:sz w:val="72"/>
        </w:rPr>
        <w:t>招标文件</w:t>
      </w: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firstLine="0" w:firstLineChars="0"/>
        <w:rPr>
          <w:rFonts w:hint="eastAsia" w:ascii="宋体" w:hAnsi="宋体" w:cs="宋体"/>
          <w:b/>
          <w:sz w:val="28"/>
        </w:rPr>
      </w:pPr>
    </w:p>
    <w:p>
      <w:pPr>
        <w:pStyle w:val="14"/>
        <w:spacing w:line="360" w:lineRule="auto"/>
        <w:ind w:left="0" w:leftChars="0" w:right="-722" w:rightChars="-328" w:firstLine="0" w:firstLineChars="0"/>
        <w:rPr>
          <w:rFonts w:hint="eastAsia" w:ascii="仿宋" w:hAnsi="仿宋" w:eastAsia="仿宋" w:cs="仿宋"/>
          <w:b w:val="0"/>
          <w:color w:val="000000" w:themeColor="text1"/>
          <w:sz w:val="28"/>
          <w:szCs w:val="28"/>
          <w:lang w:val="en-US" w:eastAsia="zh-CN" w:bidi="ar"/>
          <w14:textFill>
            <w14:solidFill>
              <w14:schemeClr w14:val="tx1"/>
            </w14:solidFill>
          </w14:textFill>
        </w:rPr>
      </w:pPr>
      <w:r>
        <w:rPr>
          <w:rFonts w:hint="eastAsia" w:ascii="宋体" w:hAnsi="宋体" w:cs="宋体"/>
          <w:b/>
          <w:sz w:val="28"/>
          <w:szCs w:val="28"/>
        </w:rPr>
        <w:t>项目名称：</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珠海市香洲区第二人民医院车辆定点维修服务年度供应商采购项目</w:t>
      </w:r>
    </w:p>
    <w:p>
      <w:pPr>
        <w:pStyle w:val="14"/>
        <w:spacing w:line="360" w:lineRule="auto"/>
        <w:ind w:left="0" w:leftChars="0" w:firstLine="0" w:firstLineChars="0"/>
        <w:rPr>
          <w:rFonts w:hint="default" w:ascii="宋体" w:hAnsi="宋体" w:eastAsia="宋体" w:cs="宋体"/>
          <w:b/>
          <w:sz w:val="28"/>
          <w:szCs w:val="28"/>
          <w:lang w:val="en-US" w:eastAsia="zh-CN"/>
        </w:rPr>
      </w:pPr>
      <w:r>
        <w:rPr>
          <w:rFonts w:hint="eastAsia" w:ascii="宋体" w:hAnsi="宋体" w:cs="宋体"/>
          <w:b/>
          <w:sz w:val="28"/>
          <w:szCs w:val="28"/>
        </w:rPr>
        <w:t>项目编号：</w:t>
      </w:r>
      <w:r>
        <w:rPr>
          <w:rFonts w:hint="eastAsia" w:ascii="仿宋" w:hAnsi="仿宋" w:eastAsia="仿宋" w:cs="仿宋"/>
          <w:b w:val="0"/>
          <w:color w:val="000000" w:themeColor="text1"/>
          <w:sz w:val="28"/>
          <w:szCs w:val="28"/>
          <w:lang w:val="en-US" w:bidi="ar"/>
          <w14:textFill>
            <w14:solidFill>
              <w14:schemeClr w14:val="tx1"/>
            </w14:solidFill>
          </w14:textFill>
        </w:rPr>
        <w:t>HQCG202</w:t>
      </w:r>
      <w:r>
        <w:rPr>
          <w:rFonts w:hint="eastAsia" w:ascii="仿宋" w:hAnsi="仿宋" w:eastAsia="仿宋" w:cs="仿宋"/>
          <w:b w:val="0"/>
          <w:color w:val="000000" w:themeColor="text1"/>
          <w:sz w:val="28"/>
          <w:szCs w:val="28"/>
          <w:lang w:val="en-US" w:eastAsia="zh-CN" w:bidi="ar"/>
          <w14:textFill>
            <w14:solidFill>
              <w14:schemeClr w14:val="tx1"/>
            </w14:solidFill>
          </w14:textFill>
        </w:rPr>
        <w:t>5011</w:t>
      </w:r>
    </w:p>
    <w:p>
      <w:pPr>
        <w:pStyle w:val="14"/>
        <w:ind w:left="0" w:leftChars="0" w:firstLine="0" w:firstLineChars="0"/>
        <w:rPr>
          <w:rFonts w:hint="eastAsia" w:ascii="宋体" w:hAnsi="宋体" w:cs="宋体"/>
          <w:b/>
          <w:sz w:val="28"/>
        </w:rPr>
      </w:pPr>
    </w:p>
    <w:p>
      <w:pPr>
        <w:pStyle w:val="14"/>
        <w:ind w:left="0" w:leftChars="0" w:firstLine="0" w:firstLineChars="0"/>
        <w:rPr>
          <w:rFonts w:hint="eastAsia" w:ascii="宋体" w:hAnsi="宋体" w:cs="宋体"/>
          <w:b/>
          <w:sz w:val="28"/>
        </w:rPr>
      </w:pPr>
    </w:p>
    <w:p>
      <w:pPr>
        <w:pStyle w:val="14"/>
        <w:ind w:left="0" w:leftChars="0" w:firstLine="0" w:firstLineChars="0"/>
        <w:rPr>
          <w:rFonts w:hint="eastAsia" w:ascii="宋体" w:hAnsi="宋体" w:cs="宋体"/>
          <w:b/>
          <w:sz w:val="28"/>
        </w:rPr>
      </w:pPr>
    </w:p>
    <w:p>
      <w:pPr>
        <w:pStyle w:val="14"/>
        <w:ind w:left="0" w:leftChars="0" w:firstLine="0" w:firstLineChars="0"/>
        <w:rPr>
          <w:rFonts w:hint="eastAsia" w:ascii="宋体" w:hAnsi="宋体" w:cs="宋体"/>
          <w:b/>
          <w:sz w:val="28"/>
        </w:rPr>
      </w:pPr>
    </w:p>
    <w:p>
      <w:pPr>
        <w:tabs>
          <w:tab w:val="center" w:pos="4156"/>
          <w:tab w:val="left" w:pos="6405"/>
        </w:tabs>
        <w:adjustRightInd w:val="0"/>
        <w:snapToGrid w:val="0"/>
        <w:spacing w:line="360" w:lineRule="auto"/>
        <w:jc w:val="center"/>
        <w:rPr>
          <w:rFonts w:hint="eastAsia" w:ascii="黑体" w:hAnsi="黑体" w:eastAsia="黑体" w:cs="黑体"/>
          <w:sz w:val="28"/>
          <w:szCs w:val="10"/>
          <w:lang w:val="en-US" w:eastAsia="zh-CN"/>
        </w:rPr>
      </w:pPr>
      <w:r>
        <w:rPr>
          <w:rFonts w:hint="eastAsia" w:ascii="黑体" w:hAnsi="黑体" w:eastAsia="黑体" w:cs="黑体"/>
          <w:sz w:val="28"/>
          <w:szCs w:val="10"/>
          <w:lang w:val="en-US" w:eastAsia="zh-CN"/>
        </w:rPr>
        <w:t>采购人：珠海市香洲区第二人民医院</w:t>
      </w:r>
    </w:p>
    <w:p>
      <w:pPr>
        <w:tabs>
          <w:tab w:val="center" w:pos="4156"/>
          <w:tab w:val="left" w:pos="6405"/>
        </w:tabs>
        <w:adjustRightInd w:val="0"/>
        <w:snapToGrid w:val="0"/>
        <w:spacing w:line="360" w:lineRule="auto"/>
        <w:jc w:val="center"/>
        <w:rPr>
          <w:rFonts w:hint="eastAsia" w:ascii="黑体" w:hAnsi="黑体" w:eastAsia="黑体" w:cs="黑体"/>
          <w:sz w:val="28"/>
          <w:szCs w:val="10"/>
          <w:lang w:val="en-US" w:eastAsia="zh-CN"/>
        </w:rPr>
      </w:pPr>
      <w:r>
        <w:rPr>
          <w:rFonts w:hint="eastAsia" w:ascii="黑体" w:hAnsi="黑体" w:eastAsia="黑体" w:cs="黑体"/>
          <w:sz w:val="28"/>
          <w:szCs w:val="10"/>
          <w:lang w:val="en-US" w:eastAsia="zh-CN"/>
        </w:rPr>
        <w:t>2025年9月</w:t>
      </w:r>
    </w:p>
    <w:p>
      <w:pPr>
        <w:spacing w:line="360" w:lineRule="auto"/>
        <w:jc w:val="center"/>
        <w:rPr>
          <w:rFonts w:hint="eastAsia" w:ascii="宋体" w:hAnsi="宋体" w:cs="宋体"/>
          <w:b/>
          <w:sz w:val="28"/>
          <w:szCs w:val="28"/>
        </w:rPr>
      </w:pPr>
    </w:p>
    <w:p>
      <w:pPr>
        <w:pStyle w:val="2"/>
        <w:rPr>
          <w:rFonts w:hint="eastAsia"/>
        </w:rPr>
        <w:sectPr>
          <w:footerReference r:id="rId5" w:type="default"/>
          <w:pgSz w:w="11906" w:h="16838"/>
          <w:pgMar w:top="1434" w:right="1474" w:bottom="1434" w:left="1474" w:header="851" w:footer="992" w:gutter="0"/>
          <w:pgNumType w:fmt="decimal"/>
          <w:cols w:space="425" w:num="1"/>
          <w:docGrid w:type="lines" w:linePitch="312" w:charSpace="0"/>
        </w:sectPr>
      </w:pPr>
    </w:p>
    <w:p>
      <w:pPr>
        <w:tabs>
          <w:tab w:val="center" w:pos="4156"/>
          <w:tab w:val="left" w:pos="6405"/>
        </w:tabs>
        <w:adjustRightInd w:val="0"/>
        <w:snapToGrid w:val="0"/>
        <w:spacing w:line="480" w:lineRule="auto"/>
        <w:jc w:val="center"/>
        <w:rPr>
          <w:rFonts w:hint="eastAsia" w:ascii="宋体" w:hAnsi="宋体" w:cs="宋体"/>
          <w:sz w:val="52"/>
          <w:szCs w:val="20"/>
          <w:lang w:val="en-US" w:eastAsia="zh-CN"/>
        </w:rPr>
      </w:pPr>
    </w:p>
    <w:p>
      <w:pPr>
        <w:tabs>
          <w:tab w:val="center" w:pos="4156"/>
          <w:tab w:val="left" w:pos="6405"/>
        </w:tabs>
        <w:adjustRightInd w:val="0"/>
        <w:snapToGrid w:val="0"/>
        <w:spacing w:line="480" w:lineRule="auto"/>
        <w:jc w:val="center"/>
        <w:rPr>
          <w:rFonts w:hint="eastAsia" w:ascii="宋体" w:hAnsi="宋体" w:cs="宋体"/>
          <w:sz w:val="52"/>
          <w:szCs w:val="20"/>
          <w:lang w:val="en-US" w:eastAsia="zh-CN"/>
        </w:rPr>
      </w:pPr>
      <w:r>
        <w:rPr>
          <w:rFonts w:hint="eastAsia" w:ascii="宋体" w:hAnsi="宋体" w:cs="宋体"/>
          <w:sz w:val="52"/>
          <w:szCs w:val="20"/>
          <w:lang w:val="en-US" w:eastAsia="zh-CN"/>
        </w:rPr>
        <w:t>目   录</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第一部分  招标公告</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 xml:space="preserve">第二部分  </w:t>
      </w:r>
      <w:r>
        <w:rPr>
          <w:rFonts w:hint="eastAsia" w:cs="宋体"/>
          <w:sz w:val="32"/>
          <w:szCs w:val="32"/>
          <w:lang w:val="en-US" w:eastAsia="zh-CN"/>
        </w:rPr>
        <w:t>用户</w:t>
      </w:r>
      <w:r>
        <w:rPr>
          <w:rFonts w:hint="eastAsia" w:ascii="宋体" w:hAnsi="宋体" w:cs="宋体"/>
          <w:sz w:val="32"/>
          <w:szCs w:val="32"/>
          <w:lang w:val="en-US" w:eastAsia="zh-CN"/>
        </w:rPr>
        <w:t>需求书</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第三部分  投标人须知前附表</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w:t>
      </w:r>
      <w:r>
        <w:rPr>
          <w:rFonts w:hint="eastAsia" w:cs="宋体"/>
          <w:sz w:val="32"/>
          <w:szCs w:val="32"/>
          <w:lang w:val="en-US" w:eastAsia="zh-CN"/>
        </w:rPr>
        <w:t>四</w:t>
      </w:r>
      <w:r>
        <w:rPr>
          <w:rFonts w:hint="eastAsia" w:ascii="宋体" w:hAnsi="宋体" w:cs="宋体"/>
          <w:sz w:val="32"/>
          <w:szCs w:val="32"/>
          <w:lang w:val="en-US" w:eastAsia="zh-CN"/>
        </w:rPr>
        <w:t xml:space="preserve">部分 </w:t>
      </w:r>
      <w:r>
        <w:rPr>
          <w:rFonts w:hint="eastAsia" w:cs="宋体"/>
          <w:sz w:val="32"/>
          <w:szCs w:val="32"/>
          <w:lang w:val="en-US" w:eastAsia="zh-CN"/>
        </w:rPr>
        <w:t xml:space="preserve"> </w:t>
      </w:r>
      <w:r>
        <w:rPr>
          <w:rFonts w:hint="eastAsia" w:ascii="宋体" w:hAnsi="宋体" w:cs="宋体"/>
          <w:sz w:val="32"/>
          <w:szCs w:val="32"/>
          <w:lang w:val="en-US" w:eastAsia="zh-CN"/>
        </w:rPr>
        <w:t>评标方法与标准</w:t>
      </w:r>
    </w:p>
    <w:p>
      <w:pPr>
        <w:tabs>
          <w:tab w:val="center" w:pos="4156"/>
          <w:tab w:val="left" w:pos="6405"/>
        </w:tabs>
        <w:adjustRightInd w:val="0"/>
        <w:snapToGrid w:val="0"/>
        <w:spacing w:line="480" w:lineRule="auto"/>
        <w:ind w:leftChars="400"/>
        <w:jc w:val="left"/>
        <w:rPr>
          <w:rFonts w:hint="eastAsia" w:cs="宋体"/>
          <w:sz w:val="32"/>
          <w:szCs w:val="32"/>
          <w:lang w:val="en-US" w:eastAsia="zh-CN"/>
        </w:rPr>
      </w:pPr>
      <w:r>
        <w:rPr>
          <w:rFonts w:hint="eastAsia" w:ascii="宋体" w:hAnsi="宋体" w:cs="宋体"/>
          <w:sz w:val="32"/>
          <w:szCs w:val="32"/>
          <w:lang w:val="en-US" w:eastAsia="zh-CN"/>
        </w:rPr>
        <w:t>第</w:t>
      </w:r>
      <w:r>
        <w:rPr>
          <w:rFonts w:hint="eastAsia" w:cs="宋体"/>
          <w:sz w:val="32"/>
          <w:szCs w:val="32"/>
          <w:lang w:val="en-US" w:eastAsia="zh-CN"/>
        </w:rPr>
        <w:t>五</w:t>
      </w:r>
      <w:r>
        <w:rPr>
          <w:rFonts w:hint="eastAsia" w:ascii="宋体" w:hAnsi="宋体" w:cs="宋体"/>
          <w:sz w:val="32"/>
          <w:szCs w:val="32"/>
          <w:lang w:val="en-US" w:eastAsia="zh-CN"/>
        </w:rPr>
        <w:t>部分  投标文件格式</w:t>
      </w:r>
      <w:r>
        <w:rPr>
          <w:rFonts w:hint="eastAsia" w:cs="宋体"/>
          <w:sz w:val="32"/>
          <w:szCs w:val="32"/>
          <w:lang w:val="en-US" w:eastAsia="zh-CN"/>
        </w:rPr>
        <w:t>（参考）</w:t>
      </w:r>
    </w:p>
    <w:p>
      <w:pPr>
        <w:tabs>
          <w:tab w:val="center" w:pos="4156"/>
          <w:tab w:val="left" w:pos="6405"/>
        </w:tabs>
        <w:adjustRightInd w:val="0"/>
        <w:snapToGrid w:val="0"/>
        <w:spacing w:line="480" w:lineRule="auto"/>
        <w:ind w:leftChars="400"/>
        <w:jc w:val="left"/>
        <w:rPr>
          <w:rFonts w:hint="default" w:ascii="宋体" w:hAnsi="宋体" w:cs="宋体"/>
          <w:sz w:val="32"/>
          <w:szCs w:val="32"/>
          <w:lang w:val="en-US" w:eastAsia="zh-CN"/>
        </w:rPr>
      </w:pPr>
      <w:r>
        <w:rPr>
          <w:rFonts w:hint="eastAsia" w:cs="宋体"/>
          <w:sz w:val="32"/>
          <w:szCs w:val="32"/>
          <w:lang w:val="en-US" w:eastAsia="zh-CN"/>
        </w:rPr>
        <w:t>第六部分  投标人须知</w:t>
      </w:r>
    </w:p>
    <w:p>
      <w:pPr>
        <w:pStyle w:val="2"/>
        <w:rPr>
          <w:rFonts w:hint="eastAsia" w:ascii="宋体" w:hAnsi="宋体" w:cs="宋体"/>
          <w:sz w:val="32"/>
          <w:szCs w:val="32"/>
          <w:lang w:val="en-US" w:eastAsia="zh-CN"/>
        </w:rPr>
      </w:pPr>
    </w:p>
    <w:p>
      <w:pPr>
        <w:rPr>
          <w:rFonts w:hint="eastAsia"/>
          <w:lang w:val="en-US" w:eastAsia="zh-CN"/>
        </w:rPr>
        <w:sectPr>
          <w:pgSz w:w="11906" w:h="16838"/>
          <w:pgMar w:top="1434" w:right="1474" w:bottom="1984" w:left="1474" w:header="851" w:footer="992" w:gutter="0"/>
          <w:pgNumType w:fmt="decimal"/>
          <w:cols w:space="425" w:num="1"/>
          <w:docGrid w:type="lines" w:linePitch="312" w:charSpace="0"/>
        </w:sectPr>
      </w:pPr>
    </w:p>
    <w:p>
      <w:pPr>
        <w:spacing w:line="360" w:lineRule="auto"/>
        <w:jc w:val="center"/>
        <w:rPr>
          <w:rFonts w:hint="eastAsia" w:ascii="宋体" w:hAnsi="宋体" w:cs="宋体"/>
          <w:kern w:val="28"/>
          <w:sz w:val="32"/>
          <w:szCs w:val="32"/>
        </w:rPr>
      </w:pPr>
      <w:bookmarkStart w:id="0" w:name="_Toc28359001"/>
      <w:bookmarkStart w:id="1" w:name="_Toc22659"/>
      <w:bookmarkStart w:id="2" w:name="_Toc35393789"/>
      <w:r>
        <w:rPr>
          <w:rFonts w:hint="eastAsia" w:ascii="宋体" w:hAnsi="宋体" w:cs="宋体"/>
          <w:b/>
          <w:kern w:val="28"/>
          <w:sz w:val="32"/>
          <w:szCs w:val="32"/>
          <w:lang w:val="en-US" w:eastAsia="zh-CN"/>
        </w:rPr>
        <w:t xml:space="preserve">第一部分 </w:t>
      </w:r>
      <w:r>
        <w:rPr>
          <w:rFonts w:hint="eastAsia" w:ascii="宋体" w:hAnsi="宋体" w:cs="宋体"/>
          <w:b/>
          <w:kern w:val="28"/>
          <w:sz w:val="32"/>
          <w:szCs w:val="32"/>
        </w:rPr>
        <w:t>招标公告</w:t>
      </w:r>
      <w:bookmarkEnd w:id="0"/>
      <w:bookmarkEnd w:id="1"/>
      <w:bookmarkEnd w:id="2"/>
    </w:p>
    <w:p>
      <w:pPr>
        <w:pStyle w:val="14"/>
        <w:keepNext w:val="0"/>
        <w:keepLines w:val="0"/>
        <w:pageBreakBefore w:val="0"/>
        <w:widowControl w:val="0"/>
        <w:kinsoku/>
        <w:wordWrap/>
        <w:overflowPunct/>
        <w:topLinePunct w:val="0"/>
        <w:autoSpaceDE w:val="0"/>
        <w:autoSpaceDN w:val="0"/>
        <w:bidi w:val="0"/>
        <w:adjustRightInd/>
        <w:snapToGrid/>
        <w:spacing w:after="0" w:line="500" w:lineRule="exact"/>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fill="FFFFFF"/>
        </w:rPr>
      </w:pPr>
    </w:p>
    <w:p>
      <w:pPr>
        <w:keepNext w:val="0"/>
        <w:keepLines w:val="0"/>
        <w:pageBreakBefore w:val="0"/>
        <w:kinsoku/>
        <w:wordWrap/>
        <w:overflowPunct/>
        <w:topLinePunct w:val="0"/>
        <w:bidi w:val="0"/>
        <w:adjustRightInd/>
        <w:snapToGrid/>
        <w:spacing w:line="500" w:lineRule="exact"/>
        <w:ind w:firstLine="560" w:firstLineChars="200"/>
        <w:textAlignment w:val="auto"/>
        <w:rPr>
          <w:rFonts w:hint="eastAsia" w:ascii="仿宋" w:hAnsi="仿宋" w:eastAsia="仿宋" w:cs="仿宋"/>
          <w:b w:val="0"/>
          <w:bC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0"/>
          <w:sz w:val="28"/>
          <w:szCs w:val="28"/>
          <w:lang w:val="en-US" w:eastAsia="zh-CN" w:bidi="ar"/>
          <w14:textFill>
            <w14:solidFill>
              <w14:schemeClr w14:val="tx1"/>
            </w14:solidFill>
          </w14:textFill>
        </w:rPr>
        <w:t>本项目采用院内招标方式组织珠海市香洲区第二人民医院车辆定点维修服务年度供应商采购项目活动，欢迎符合资格条件的投标人参加。</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t>一、项目基本情况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right="-502" w:rightChars="-228"/>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项目名称：珠海市香洲区第二人民医院车辆定点维修服务年度供应商采购项目</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项目编号：HQCG2025011</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default"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项目预算：99000元</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right="0" w:rightChars="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招标方式：院内招标</w:t>
      </w:r>
    </w:p>
    <w:tbl>
      <w:tblPr>
        <w:tblStyle w:val="16"/>
        <w:tblpPr w:leftFromText="180" w:rightFromText="180" w:vertAnchor="text" w:horzAnchor="page" w:tblpX="1311" w:tblpY="521"/>
        <w:tblOverlap w:val="never"/>
        <w:tblW w:w="94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18"/>
        <w:gridCol w:w="2504"/>
        <w:gridCol w:w="1086"/>
        <w:gridCol w:w="2214"/>
        <w:gridCol w:w="1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18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25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服务期限</w:t>
            </w:r>
          </w:p>
        </w:tc>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22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单价最高限价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8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宋体" w:hAnsi="宋体" w:eastAsia="宋体" w:cs="宋体"/>
                <w:sz w:val="24"/>
                <w:szCs w:val="24"/>
                <w:lang w:val="en-US"/>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公务车辆、救护车等医疗机构特种车辆的定点维修服务</w:t>
            </w:r>
          </w:p>
        </w:tc>
        <w:tc>
          <w:tcPr>
            <w:tcW w:w="25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3年（</w:t>
            </w:r>
            <w:r>
              <w:rPr>
                <w:rFonts w:hint="eastAsia" w:ascii="仿宋" w:hAnsi="仿宋" w:eastAsia="仿宋" w:cs="仿宋"/>
                <w:color w:val="000000" w:themeColor="text1"/>
                <w:sz w:val="24"/>
                <w:szCs w:val="24"/>
                <w:lang w:val="en-US" w:bidi="ar"/>
                <w14:textFill>
                  <w14:solidFill>
                    <w14:schemeClr w14:val="tx1"/>
                  </w14:solidFill>
                </w14:textFill>
              </w:rPr>
              <w:t>合同签订之日起</w:t>
            </w:r>
            <w:r>
              <w:rPr>
                <w:rFonts w:hint="eastAsia" w:ascii="仿宋" w:hAnsi="仿宋" w:eastAsia="仿宋" w:cs="仿宋"/>
                <w:color w:val="000000" w:themeColor="text1"/>
                <w:sz w:val="24"/>
                <w:szCs w:val="24"/>
                <w:lang w:val="en-US" w:eastAsia="zh-CN" w:bidi="ar"/>
                <w14:textFill>
                  <w14:solidFill>
                    <w14:schemeClr w14:val="tx1"/>
                  </w14:solidFill>
                </w14:textFill>
              </w:rPr>
              <w:t>三</w:t>
            </w:r>
            <w:r>
              <w:rPr>
                <w:rFonts w:hint="eastAsia" w:ascii="仿宋" w:hAnsi="仿宋" w:eastAsia="仿宋" w:cs="仿宋"/>
                <w:color w:val="000000" w:themeColor="text1"/>
                <w:sz w:val="24"/>
                <w:szCs w:val="24"/>
                <w:lang w:val="en-US" w:bidi="ar"/>
                <w14:textFill>
                  <w14:solidFill>
                    <w14:schemeClr w14:val="tx1"/>
                  </w14:solidFill>
                </w14:textFill>
              </w:rPr>
              <w:t>年或采购总金额累计达到采购预算，本项目合同自动终止</w:t>
            </w: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w:t>
            </w:r>
          </w:p>
        </w:tc>
        <w:tc>
          <w:tcPr>
            <w:tcW w:w="10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pPr>
            <w:bookmarkStart w:id="3" w:name="OLE_LINK2"/>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3家</w:t>
            </w:r>
            <w:bookmarkEnd w:id="3"/>
          </w:p>
        </w:tc>
        <w:tc>
          <w:tcPr>
            <w:tcW w:w="22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详见《用户需求书》</w:t>
            </w:r>
          </w:p>
        </w:tc>
        <w:tc>
          <w:tcPr>
            <w:tcW w:w="1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工时单价：</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color w:val="000000" w:themeColor="text1"/>
                <w:spacing w:val="0"/>
                <w:kern w:val="0"/>
                <w:sz w:val="24"/>
                <w:szCs w:val="24"/>
                <w:highlight w:val="none"/>
                <w:lang w:val="en-US" w:eastAsia="zh-CN" w:bidi="ar"/>
                <w14:textFill>
                  <w14:solidFill>
                    <w14:schemeClr w14:val="tx1"/>
                  </w14:solidFill>
                </w14:textFill>
              </w:rPr>
              <w:t>28</w:t>
            </w:r>
            <w:r>
              <w:rPr>
                <w:rFonts w:hint="default" w:ascii="仿宋" w:hAnsi="仿宋" w:eastAsia="仿宋" w:cs="仿宋"/>
                <w:color w:val="000000" w:themeColor="text1"/>
                <w:spacing w:val="0"/>
                <w:kern w:val="0"/>
                <w:sz w:val="24"/>
                <w:szCs w:val="24"/>
                <w:lang w:val="en-US" w:eastAsia="zh-CN" w:bidi="ar"/>
                <w14:textFill>
                  <w14:solidFill>
                    <w14:schemeClr w14:val="tx1"/>
                  </w14:solidFill>
                </w14:textFill>
              </w:rPr>
              <w:t>元</w:t>
            </w:r>
            <w:r>
              <w:rPr>
                <w:rFonts w:hint="eastAsia" w:ascii="仿宋" w:hAnsi="仿宋" w:eastAsia="仿宋" w:cs="仿宋"/>
                <w:color w:val="000000" w:themeColor="text1"/>
                <w:spacing w:val="0"/>
                <w:kern w:val="0"/>
                <w:sz w:val="24"/>
                <w:szCs w:val="24"/>
                <w:lang w:val="en-US" w:eastAsia="zh-CN" w:bidi="ar"/>
                <w14:textFill>
                  <w14:solidFill>
                    <w14:schemeClr w14:val="tx1"/>
                  </w14:solidFill>
                </w14:textFill>
              </w:rPr>
              <w:t>/工时</w:t>
            </w:r>
          </w:p>
        </w:tc>
      </w:tr>
    </w:tbl>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注明：</w:t>
      </w:r>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1.</w:t>
      </w:r>
      <w:r>
        <w:rPr>
          <w:rFonts w:hint="eastAsia" w:ascii="仿宋" w:hAnsi="仿宋" w:eastAsia="仿宋" w:cs="仿宋"/>
          <w:i w:val="0"/>
          <w:iCs w:val="0"/>
          <w:caps w:val="0"/>
          <w:spacing w:val="0"/>
          <w:kern w:val="2"/>
          <w:sz w:val="28"/>
          <w:szCs w:val="28"/>
          <w:shd w:val="clear"/>
          <w:vertAlign w:val="baseline"/>
          <w:lang w:val="en-US" w:eastAsia="zh-CN" w:bidi="ar"/>
        </w:rPr>
        <w:t>本项目不接受联合体投标，</w:t>
      </w:r>
      <w:r>
        <w:rPr>
          <w:rFonts w:hint="eastAsia" w:ascii="仿宋" w:hAnsi="仿宋" w:eastAsia="仿宋" w:cs="仿宋"/>
          <w:sz w:val="28"/>
          <w:szCs w:val="28"/>
        </w:rPr>
        <w:t>不允许分包</w:t>
      </w:r>
      <w:r>
        <w:rPr>
          <w:rFonts w:hint="eastAsia" w:ascii="仿宋" w:hAnsi="仿宋" w:eastAsia="仿宋" w:cs="仿宋"/>
          <w:sz w:val="28"/>
          <w:szCs w:val="28"/>
          <w:lang w:eastAsia="zh-CN"/>
        </w:rPr>
        <w:t>、</w:t>
      </w:r>
      <w:r>
        <w:rPr>
          <w:rFonts w:hint="eastAsia" w:ascii="仿宋" w:hAnsi="仿宋" w:eastAsia="仿宋" w:cs="仿宋"/>
          <w:sz w:val="28"/>
          <w:szCs w:val="28"/>
        </w:rPr>
        <w:t>转包</w:t>
      </w:r>
      <w:r>
        <w:rPr>
          <w:rFonts w:hint="eastAsia" w:ascii="仿宋" w:hAnsi="仿宋" w:eastAsia="仿宋" w:cs="仿宋"/>
          <w:i w:val="0"/>
          <w:iCs w:val="0"/>
          <w:caps w:val="0"/>
          <w:spacing w:val="0"/>
          <w:kern w:val="2"/>
          <w:sz w:val="28"/>
          <w:szCs w:val="28"/>
          <w:shd w:val="clear"/>
          <w:vertAlign w:val="baseline"/>
          <w:lang w:val="en-US" w:eastAsia="zh-CN" w:bidi="ar"/>
        </w:rPr>
        <w:t>。</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2.服务地点：珠海市香洲区第二人民医院</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符合《中华人民共和国政府采购法》第二十二条规定的条件。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（2）有依法缴纳税收和社会保障资金的良好记录：提供《投标人资格声明函》（格式可参照招标公告附件）。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（3）具有良好的商业信誉和健全的财务会计制度：提供《投标人资格声明函》（格式可参照招标公告附件）。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（4）履行合同所必需的设备和专业技术能力：提供《投标人资格声明函》（格式可参照招标公告附件）。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（5）参加招标活动前3年内，在经营活动中没有重大违法记录：提供《投标人资格声明函》（格式可参照招标公告附件）。</w:t>
      </w:r>
    </w:p>
    <w:p>
      <w:pPr>
        <w:keepNext w:val="0"/>
        <w:keepLines w:val="0"/>
        <w:pageBreakBefore w:val="0"/>
        <w:widowControl w:val="0"/>
        <w:kinsoku/>
        <w:wordWrap/>
        <w:overflowPunct/>
        <w:topLinePunct w:val="0"/>
        <w:autoSpaceDE w:val="0"/>
        <w:autoSpaceDN w:val="0"/>
        <w:bidi w:val="0"/>
        <w:adjustRightInd/>
        <w:snapToGrid/>
        <w:spacing w:before="157" w:beforeLines="50"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2.落实政府采购政策需满足的资格要求：</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本项目专门面向中小企业，供应商应为中小微企业、监狱企业、残疾人福利性单位。（提供《中小企业声明函》或属于监狱企业的证明材料或《残疾人福利性单位声明函》，否则不予认定）</w:t>
      </w:r>
    </w:p>
    <w:p>
      <w:pPr>
        <w:keepNext w:val="0"/>
        <w:keepLines w:val="0"/>
        <w:pageBreakBefore w:val="0"/>
        <w:widowControl w:val="0"/>
        <w:kinsoku/>
        <w:wordWrap/>
        <w:overflowPunct/>
        <w:topLinePunct w:val="0"/>
        <w:autoSpaceDE w:val="0"/>
        <w:autoSpaceDN w:val="0"/>
        <w:bidi w:val="0"/>
        <w:adjustRightInd/>
        <w:snapToGrid/>
        <w:spacing w:before="157" w:beforeLines="50"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3.本项目的特定资格要求：</w:t>
      </w:r>
    </w:p>
    <w:p>
      <w:pPr>
        <w:keepNext w:val="0"/>
        <w:keepLines w:val="0"/>
        <w:pageBreakBefore w:val="0"/>
        <w:widowControl w:val="0"/>
        <w:kinsoku/>
        <w:wordWrap/>
        <w:overflowPunct/>
        <w:topLinePunct w:val="0"/>
        <w:bidi w:val="0"/>
        <w:adjustRightInd/>
        <w:snapToGrid/>
        <w:spacing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（1）供应商未列入“信用中国”网站</w:t>
      </w:r>
      <w:r>
        <w:rPr>
          <w:rFonts w:hint="default" w:ascii="Times New Roman" w:hAnsi="Times New Roman" w:eastAsia="仿宋" w:cs="Times New Roman"/>
          <w:i w:val="0"/>
          <w:iCs w:val="0"/>
          <w:caps w:val="0"/>
          <w:spacing w:val="0"/>
          <w:sz w:val="28"/>
          <w:szCs w:val="28"/>
          <w:shd w:val="clear"/>
          <w:lang w:val="en-US" w:eastAsia="zh-CN"/>
        </w:rPr>
        <w:t>(www.creditchina.gov.cn)</w:t>
      </w:r>
      <w:r>
        <w:rPr>
          <w:rFonts w:hint="eastAsia" w:ascii="仿宋" w:hAnsi="仿宋" w:eastAsia="仿宋" w:cs="仿宋"/>
          <w:i w:val="0"/>
          <w:iCs w:val="0"/>
          <w:caps w:val="0"/>
          <w:spacing w:val="0"/>
          <w:sz w:val="28"/>
          <w:szCs w:val="28"/>
          <w:shd w:val="clear"/>
          <w:lang w:val="en-US" w:eastAsia="zh-CN"/>
        </w:rPr>
        <w:t>“记录失信被执行人或重大税收违法案件当事人名单或政府采购严重违法失信行为”的记录名单；不处于中国政府采购网</w:t>
      </w:r>
      <w:r>
        <w:rPr>
          <w:rFonts w:hint="default" w:ascii="Times New Roman" w:hAnsi="Times New Roman" w:eastAsia="仿宋" w:cs="Times New Roman"/>
          <w:i w:val="0"/>
          <w:iCs w:val="0"/>
          <w:caps w:val="0"/>
          <w:spacing w:val="0"/>
          <w:sz w:val="28"/>
          <w:szCs w:val="28"/>
          <w:shd w:val="clear"/>
          <w:lang w:val="en-US" w:eastAsia="zh-CN"/>
        </w:rPr>
        <w:t>(www.ccgp.gov.cn)</w:t>
      </w:r>
      <w:r>
        <w:rPr>
          <w:rFonts w:hint="eastAsia" w:ascii="仿宋" w:hAnsi="仿宋" w:eastAsia="仿宋" w:cs="仿宋"/>
          <w:i w:val="0"/>
          <w:iCs w:val="0"/>
          <w:caps w:val="0"/>
          <w:spacing w:val="0"/>
          <w:sz w:val="28"/>
          <w:szCs w:val="28"/>
          <w:shd w:val="clear"/>
          <w:lang w:val="en-US" w:eastAsia="zh-CN"/>
        </w:rPr>
        <w:t>“政府采购严重违法失信行为信息记录”中的禁止参加政府采购活动期间。（以资格审查人员于投标截止时间当天在“信用中国”网站</w:t>
      </w:r>
      <w:r>
        <w:rPr>
          <w:rFonts w:hint="default" w:ascii="Times New Roman" w:hAnsi="Times New Roman" w:eastAsia="仿宋" w:cs="Times New Roman"/>
          <w:i w:val="0"/>
          <w:iCs w:val="0"/>
          <w:caps w:val="0"/>
          <w:spacing w:val="0"/>
          <w:sz w:val="28"/>
          <w:szCs w:val="28"/>
          <w:shd w:val="clear"/>
          <w:lang w:val="en-US" w:eastAsia="zh-CN"/>
        </w:rPr>
        <w:t>（www.creditchina.gov.cn）</w:t>
      </w:r>
      <w:r>
        <w:rPr>
          <w:rFonts w:hint="eastAsia" w:ascii="仿宋" w:hAnsi="仿宋" w:eastAsia="仿宋" w:cs="仿宋"/>
          <w:i w:val="0"/>
          <w:iCs w:val="0"/>
          <w:caps w:val="0"/>
          <w:spacing w:val="0"/>
          <w:sz w:val="28"/>
          <w:szCs w:val="28"/>
          <w:shd w:val="clear"/>
          <w:lang w:val="en-US" w:eastAsia="zh-CN"/>
        </w:rPr>
        <w:t>及中国政府采购网</w:t>
      </w:r>
      <w:r>
        <w:rPr>
          <w:rFonts w:hint="default" w:ascii="Times New Roman" w:hAnsi="Times New Roman" w:eastAsia="仿宋" w:cs="Times New Roman"/>
          <w:i w:val="0"/>
          <w:iCs w:val="0"/>
          <w:caps w:val="0"/>
          <w:spacing w:val="0"/>
          <w:sz w:val="28"/>
          <w:szCs w:val="28"/>
          <w:shd w:val="clear"/>
          <w:lang w:val="en-US" w:eastAsia="zh-CN"/>
        </w:rPr>
        <w:t>（http://www.ccgp.gov.cn/）</w:t>
      </w:r>
      <w:r>
        <w:rPr>
          <w:rFonts w:hint="eastAsia" w:ascii="仿宋" w:hAnsi="仿宋" w:eastAsia="仿宋" w:cs="仿宋"/>
          <w:i w:val="0"/>
          <w:iCs w:val="0"/>
          <w:caps w:val="0"/>
          <w:spacing w:val="0"/>
          <w:sz w:val="28"/>
          <w:szCs w:val="28"/>
          <w:shd w:val="clear"/>
          <w:lang w:val="en-US" w:eastAsia="zh-CN"/>
        </w:rPr>
        <w:t>查询结果为准，如相关失信记录已失效，供应商需提供相关证明资料）。</w:t>
      </w:r>
    </w:p>
    <w:p>
      <w:pPr>
        <w:keepNext w:val="0"/>
        <w:keepLines w:val="0"/>
        <w:pageBreakBefore w:val="0"/>
        <w:widowControl w:val="0"/>
        <w:kinsoku/>
        <w:wordWrap/>
        <w:overflowPunct/>
        <w:topLinePunct w:val="0"/>
        <w:bidi w:val="0"/>
        <w:adjustRightInd/>
        <w:snapToGrid/>
        <w:spacing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单位负责人为同一人或者存在直接控股、管理关系的不同供应商，不得同时参加本招标项目投标（响应）。为本项目提供整体设计、规范编制或者项目管理、监理、检测等服务的供应商，不得再参与本项目投标（响应）。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（3）供应商须</w:t>
      </w:r>
      <w:r>
        <w:rPr>
          <w:rFonts w:hint="default" w:ascii="仿宋" w:hAnsi="仿宋" w:eastAsia="仿宋" w:cs="仿宋"/>
          <w:i w:val="0"/>
          <w:iCs w:val="0"/>
          <w:caps w:val="0"/>
          <w:spacing w:val="0"/>
          <w:sz w:val="28"/>
          <w:szCs w:val="28"/>
          <w:shd w:val="clear"/>
          <w:lang w:val="en-US" w:eastAsia="zh-CN"/>
        </w:rPr>
        <w:t>在交通主管部门成功办理了机动车维修的经营备案（经营范围为二类或者二类以上机动车维修）。（投标文件中提供备案证明材料加盖投标人公章）</w:t>
      </w:r>
      <w:r>
        <w:rPr>
          <w:rFonts w:hint="eastAsia" w:ascii="仿宋" w:hAnsi="仿宋" w:eastAsia="仿宋" w:cs="仿宋"/>
          <w:i w:val="0"/>
          <w:iCs w:val="0"/>
          <w:caps w:val="0"/>
          <w:spacing w:val="0"/>
          <w:sz w:val="28"/>
          <w:szCs w:val="28"/>
          <w:shd w:val="clear"/>
          <w:lang w:val="en-US" w:eastAsia="zh-CN"/>
        </w:rPr>
        <w:t>。</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三、获取采购文件</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时间：2025年9月3日至2025年9月9日（上班时间段：8:00-12:00,14:00-17:00，节假日除外）。</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eastAsia="zh-CN"/>
        </w:rPr>
        <w:t>方式：</w:t>
      </w:r>
      <w:r>
        <w:rPr>
          <w:rFonts w:hint="eastAsia" w:ascii="仿宋" w:hAnsi="仿宋" w:eastAsia="仿宋" w:cs="仿宋"/>
          <w:i w:val="0"/>
          <w:iCs w:val="0"/>
          <w:caps w:val="0"/>
          <w:spacing w:val="0"/>
          <w:sz w:val="28"/>
          <w:szCs w:val="28"/>
          <w:shd w:val="clear"/>
          <w:lang w:val="en-US" w:eastAsia="zh-CN"/>
        </w:rPr>
        <w:t>投标人从公告链接自行下载并填写《报名表》（见附件）。</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四、响应文件提交</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截止时间：2025年9月12日15时00分（北京时间）。</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地点：珠海市香洲区第二人民医院保障楼207室。</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响应文件份数：正本一份，副本两份。</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说明：响应文件需密闭投递，投递文件封面需注明参加的项目、提交单位、联系人、联系电话等信息并加盖公章。</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五、开启</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时间：2025年9月12日15时10分（北京时间）（自招标文件开始发出之日起至投标人提交投标文件截至之日止，不得少于5个自然日）。</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六、公告期限</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自本公告发布之日起5个工作日。</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七</w:t>
      </w:r>
      <w:r>
        <w:rPr>
          <w:rFonts w:hint="eastAsia" w:ascii="黑体" w:hAnsi="黑体" w:eastAsia="黑体" w:cs="黑体"/>
          <w:b w:val="0"/>
          <w:bCs w:val="0"/>
          <w:i w:val="0"/>
          <w:iCs w:val="0"/>
          <w:caps w:val="0"/>
          <w:color w:val="000000" w:themeColor="text1"/>
          <w:spacing w:val="0"/>
          <w:sz w:val="28"/>
          <w:szCs w:val="28"/>
          <w:shd w:val="clear"/>
          <w:lang w:eastAsia="zh-CN"/>
          <w14:textFill>
            <w14:solidFill>
              <w14:schemeClr w14:val="tx1"/>
            </w14:solidFill>
          </w14:textFill>
        </w:rPr>
        <w:t>、凡对本次采购提出询问，请按以下方式联系</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default" w:ascii="仿宋" w:hAnsi="仿宋" w:eastAsia="仿宋" w:cs="仿宋"/>
          <w:sz w:val="28"/>
          <w:szCs w:val="28"/>
          <w:lang w:val="en-US"/>
        </w:rPr>
        <w:t>招标</w:t>
      </w:r>
      <w:r>
        <w:rPr>
          <w:rFonts w:hint="eastAsia" w:ascii="仿宋" w:hAnsi="仿宋" w:eastAsia="仿宋" w:cs="仿宋"/>
          <w:i w:val="0"/>
          <w:iCs w:val="0"/>
          <w:caps w:val="0"/>
          <w:spacing w:val="0"/>
          <w:sz w:val="28"/>
          <w:szCs w:val="28"/>
          <w:shd w:val="clear"/>
          <w:lang w:val="en-US" w:eastAsia="zh-CN"/>
        </w:rPr>
        <w:t>人信息</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名称：珠海市香洲区第二人民医院</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地址：珠海市香洲区南屏镇南泉路21号</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联系人：刘先生，联系电话：0756-8288723</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default"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邮箱：</w:t>
      </w:r>
      <w:r>
        <w:rPr>
          <w:rFonts w:hint="default" w:ascii="Times New Roman" w:hAnsi="Times New Roman" w:eastAsia="仿宋" w:cs="Times New Roman"/>
          <w:i w:val="0"/>
          <w:iCs w:val="0"/>
          <w:caps w:val="0"/>
          <w:spacing w:val="0"/>
          <w:sz w:val="28"/>
          <w:szCs w:val="28"/>
          <w:shd w:val="clear"/>
          <w:lang w:val="en-US" w:eastAsia="zh-CN"/>
        </w:rPr>
        <w:t>xzqdermyyll@zhuhai.gov.cn</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440" w:leftChars="200" w:firstLineChars="0"/>
        <w:textAlignment w:val="auto"/>
        <w:rPr>
          <w:rFonts w:hint="eastAsia" w:ascii="仿宋" w:hAnsi="仿宋" w:eastAsia="仿宋" w:cs="仿宋"/>
          <w:i w:val="0"/>
          <w:caps w:val="0"/>
          <w:spacing w:val="0"/>
          <w:sz w:val="28"/>
          <w:szCs w:val="28"/>
          <w:shd w:val="clear"/>
          <w:lang w:val="en-US" w:eastAsia="zh-CN"/>
        </w:rPr>
      </w:pPr>
      <w:r>
        <w:rPr>
          <w:rFonts w:hint="eastAsia" w:ascii="仿宋" w:hAnsi="仿宋" w:eastAsia="仿宋" w:cs="仿宋"/>
          <w:i w:val="0"/>
          <w:caps w:val="0"/>
          <w:spacing w:val="0"/>
          <w:sz w:val="28"/>
          <w:szCs w:val="28"/>
          <w:shd w:val="clear"/>
          <w:lang w:val="en-US" w:eastAsia="zh-CN"/>
        </w:rPr>
        <w:t>附件：1.报名表</w:t>
      </w:r>
    </w:p>
    <w:p>
      <w:pPr>
        <w:keepNext w:val="0"/>
        <w:keepLines w:val="0"/>
        <w:pageBreakBefore w:val="0"/>
        <w:kinsoku/>
        <w:wordWrap/>
        <w:overflowPunct/>
        <w:topLinePunct w:val="0"/>
        <w:bidi w:val="0"/>
        <w:adjustRightInd/>
        <w:snapToGrid/>
        <w:spacing w:before="0" w:after="0" w:line="500" w:lineRule="exact"/>
        <w:ind w:left="440" w:leftChars="200" w:firstLine="840" w:firstLineChars="300"/>
        <w:textAlignment w:val="auto"/>
        <w:rPr>
          <w:rFonts w:hint="eastAsia" w:ascii="宋体" w:hAnsi="宋体" w:eastAsia="宋体" w:cs="宋体"/>
          <w:color w:val="auto"/>
          <w:sz w:val="24"/>
          <w:szCs w:val="24"/>
        </w:rPr>
      </w:pPr>
      <w:r>
        <w:rPr>
          <w:rFonts w:hint="eastAsia" w:ascii="仿宋" w:hAnsi="仿宋" w:eastAsia="仿宋" w:cs="仿宋"/>
          <w:i w:val="0"/>
          <w:caps w:val="0"/>
          <w:spacing w:val="0"/>
          <w:sz w:val="28"/>
          <w:szCs w:val="28"/>
          <w:shd w:val="clear"/>
          <w:lang w:val="en-US" w:eastAsia="zh-CN"/>
        </w:rPr>
        <w:t>2.招标文件</w:t>
      </w:r>
    </w:p>
    <w:p>
      <w:pPr>
        <w:pStyle w:val="14"/>
        <w:keepNext w:val="0"/>
        <w:keepLines w:val="0"/>
        <w:pageBreakBefore w:val="0"/>
        <w:widowControl w:val="0"/>
        <w:kinsoku/>
        <w:wordWrap/>
        <w:overflowPunct/>
        <w:topLinePunct w:val="0"/>
        <w:autoSpaceDE w:val="0"/>
        <w:autoSpaceDN w:val="0"/>
        <w:bidi w:val="0"/>
        <w:adjustRightInd/>
        <w:snapToGrid/>
        <w:spacing w:after="0" w:line="579" w:lineRule="exact"/>
        <w:ind w:left="0" w:leftChars="0" w:firstLine="0" w:firstLineChars="0"/>
        <w:textAlignment w:val="auto"/>
        <w:rPr>
          <w:rFonts w:hint="eastAsia" w:ascii="仿宋_GB2312" w:hAnsi="仿宋_GB2312" w:eastAsia="仿宋_GB2312" w:cs="仿宋_GB2312"/>
          <w:i w:val="0"/>
          <w:caps w:val="0"/>
          <w:color w:val="auto"/>
          <w:spacing w:val="0"/>
          <w:sz w:val="28"/>
          <w:szCs w:val="28"/>
          <w:shd w:val="clear" w:fill="FFFFFF"/>
          <w:lang w:eastAsia="zh-CN"/>
        </w:rPr>
        <w:sectPr>
          <w:pgSz w:w="11906" w:h="16838"/>
          <w:pgMar w:top="1434" w:right="1474" w:bottom="1434" w:left="1474" w:header="851" w:footer="992" w:gutter="0"/>
          <w:pgNumType w:fmt="decimal"/>
          <w:cols w:space="425" w:num="1"/>
          <w:docGrid w:type="lines" w:linePitch="312" w:charSpace="0"/>
        </w:sectPr>
      </w:pPr>
    </w:p>
    <w:p>
      <w:pPr>
        <w:spacing w:line="360" w:lineRule="auto"/>
        <w:jc w:val="center"/>
        <w:rPr>
          <w:rFonts w:hint="eastAsia" w:ascii="宋体" w:hAnsi="宋体" w:cs="宋体"/>
          <w:b/>
          <w:kern w:val="28"/>
          <w:sz w:val="32"/>
          <w:szCs w:val="32"/>
          <w:lang w:val="en-US" w:eastAsia="zh-CN"/>
        </w:rPr>
      </w:pPr>
      <w:r>
        <w:rPr>
          <w:rFonts w:hint="eastAsia" w:cs="宋体"/>
          <w:b/>
          <w:kern w:val="28"/>
          <w:sz w:val="32"/>
          <w:szCs w:val="32"/>
          <w:lang w:val="en-US" w:eastAsia="zh-CN"/>
        </w:rPr>
        <w:t>第二部分 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eastAsia" w:cs="宋体"/>
          <w:b/>
          <w:bCs/>
          <w:sz w:val="21"/>
          <w:szCs w:val="21"/>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1.投标人须对本项目为单位的货物及服务进行整体响应，任何只对采购标的或者服务内容其中一部分内容进行的响应都被视为无效投标。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2.用户需求书中标注“★”号部分为关键技术参数、功能、要求，任何对这些项目的负偏离将被视为未实质性响应招标文件要求而作无效投标处理。投标文件中须按照“★”条款的要求逐条响应（若要求提供其他证明材料，还须提供要求的证明材料），“★”条款技术指标负偏离或者未响应，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3.用户需求书中标注“▲”号条款为重要技术参数，投标文件中须按照“▲”条款的要求逐条响应并标注证明文件所在页码（若要求提供其他证明材料，还须提供要求的证明材料），“▲”条款技术指标负偏离或者未响应，对应项将不予以计分。但不作为无效投标条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4.投标报价（总价）中不得包含招标文件要求以外的内容，否则，在评标时不予核减。若投标报价有缺漏项的，缺漏项部分的价格视为已包含在投标报价中，中标后不作任何调整。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5.本项目采购标的对应的中小微企业划分标准所属行业为：其他未列明行业。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一、项目概况</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1.项目名称：珠海市香洲区第二人民医院</w:t>
      </w:r>
      <w:r>
        <w:rPr>
          <w:rFonts w:hint="eastAsia" w:cs="宋体"/>
          <w:b w:val="0"/>
          <w:bCs w:val="0"/>
          <w:sz w:val="22"/>
          <w:szCs w:val="22"/>
          <w:highlight w:val="none"/>
          <w:lang w:val="en-US" w:eastAsia="zh-CN"/>
        </w:rPr>
        <w:t>车辆定点维修</w:t>
      </w:r>
      <w:r>
        <w:rPr>
          <w:rFonts w:hint="eastAsia" w:ascii="宋体" w:hAnsi="宋体" w:eastAsia="宋体" w:cs="宋体"/>
          <w:b w:val="0"/>
          <w:bCs w:val="0"/>
          <w:sz w:val="22"/>
          <w:szCs w:val="22"/>
          <w:highlight w:val="none"/>
          <w:lang w:val="en-US" w:eastAsia="zh-CN"/>
        </w:rPr>
        <w:t>服务年度供应商采购项目</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bidi="zh-CN"/>
        </w:rPr>
      </w:pPr>
      <w:r>
        <w:rPr>
          <w:rFonts w:hint="eastAsia" w:ascii="宋体" w:hAnsi="宋体" w:cs="宋体"/>
          <w:b w:val="0"/>
          <w:bCs w:val="0"/>
          <w:sz w:val="22"/>
          <w:szCs w:val="22"/>
          <w:highlight w:val="none"/>
          <w:lang w:val="en-US" w:eastAsia="zh-CN"/>
        </w:rPr>
        <w:t>2.</w:t>
      </w:r>
      <w:r>
        <w:rPr>
          <w:rFonts w:hint="eastAsia" w:ascii="宋体" w:hAnsi="宋体" w:eastAsia="宋体" w:cs="宋体"/>
          <w:b w:val="0"/>
          <w:bCs w:val="0"/>
          <w:sz w:val="22"/>
          <w:szCs w:val="22"/>
          <w:highlight w:val="none"/>
          <w:lang w:val="en-US" w:eastAsia="zh-CN"/>
        </w:rPr>
        <w:t>服务范围：</w:t>
      </w:r>
      <w:r>
        <w:rPr>
          <w:rFonts w:hint="eastAsia" w:cs="宋体"/>
          <w:b w:val="0"/>
          <w:bCs w:val="0"/>
          <w:sz w:val="22"/>
          <w:szCs w:val="22"/>
          <w:highlight w:val="none"/>
          <w:lang w:val="en-US" w:eastAsia="zh-CN"/>
        </w:rPr>
        <w:t>医院</w:t>
      </w:r>
      <w:r>
        <w:rPr>
          <w:rFonts w:hint="eastAsia" w:cs="宋体"/>
          <w:b w:val="0"/>
          <w:bCs w:val="0"/>
          <w:sz w:val="22"/>
          <w:szCs w:val="22"/>
          <w:highlight w:val="none"/>
          <w:lang w:val="en-US" w:eastAsia="zh-CN" w:bidi="zh-CN"/>
        </w:rPr>
        <w:t>公务车辆、救护车等医疗机构特种车辆的定点维修</w:t>
      </w:r>
      <w:r>
        <w:rPr>
          <w:rFonts w:hint="eastAsia" w:ascii="宋体" w:hAnsi="宋体" w:eastAsia="宋体" w:cs="宋体"/>
          <w:b w:val="0"/>
          <w:bCs w:val="0"/>
          <w:sz w:val="22"/>
          <w:szCs w:val="22"/>
          <w:highlight w:val="none"/>
          <w:lang w:val="en-US" w:eastAsia="zh-CN" w:bidi="zh-CN"/>
        </w:rPr>
        <w:t>服务</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i w:val="0"/>
          <w:iCs w:val="0"/>
          <w:caps w:val="0"/>
          <w:spacing w:val="0"/>
          <w:sz w:val="22"/>
          <w:szCs w:val="22"/>
          <w:highlight w:val="none"/>
          <w:lang w:val="en-US" w:eastAsia="zh-CN"/>
        </w:rPr>
      </w:pPr>
      <w:r>
        <w:rPr>
          <w:rFonts w:hint="eastAsia" w:cs="宋体"/>
          <w:b w:val="0"/>
          <w:bCs w:val="0"/>
          <w:sz w:val="22"/>
          <w:szCs w:val="22"/>
          <w:highlight w:val="none"/>
          <w:lang w:val="en-US" w:eastAsia="zh-CN"/>
        </w:rPr>
        <w:t>3</w:t>
      </w:r>
      <w:r>
        <w:rPr>
          <w:rFonts w:hint="eastAsia" w:ascii="宋体" w:hAnsi="宋体" w:eastAsia="宋体" w:cs="宋体"/>
          <w:b w:val="0"/>
          <w:bCs w:val="0"/>
          <w:sz w:val="22"/>
          <w:szCs w:val="22"/>
          <w:highlight w:val="none"/>
          <w:lang w:val="en-US" w:eastAsia="zh-CN"/>
        </w:rPr>
        <w:t>.服务期限：</w:t>
      </w:r>
      <w:r>
        <w:rPr>
          <w:rFonts w:hint="eastAsia" w:cs="宋体"/>
          <w:b w:val="0"/>
          <w:bCs w:val="0"/>
          <w:i w:val="0"/>
          <w:iCs w:val="0"/>
          <w:caps w:val="0"/>
          <w:spacing w:val="0"/>
          <w:sz w:val="22"/>
          <w:szCs w:val="22"/>
          <w:highlight w:val="none"/>
          <w:lang w:val="en-US" w:eastAsia="zh-CN"/>
        </w:rPr>
        <w:t>3</w:t>
      </w:r>
      <w:r>
        <w:rPr>
          <w:rFonts w:hint="eastAsia" w:ascii="宋体" w:hAnsi="宋体" w:eastAsia="宋体" w:cs="宋体"/>
          <w:b w:val="0"/>
          <w:bCs w:val="0"/>
          <w:i w:val="0"/>
          <w:iCs w:val="0"/>
          <w:caps w:val="0"/>
          <w:spacing w:val="0"/>
          <w:sz w:val="22"/>
          <w:szCs w:val="22"/>
          <w:highlight w:val="none"/>
          <w:lang w:val="en-US" w:eastAsia="zh-CN"/>
        </w:rPr>
        <w:t>年（</w:t>
      </w:r>
      <w:r>
        <w:rPr>
          <w:rFonts w:hint="eastAsia" w:ascii="宋体" w:hAnsi="宋体" w:eastAsia="宋体" w:cs="宋体"/>
          <w:b w:val="0"/>
          <w:bCs w:val="0"/>
          <w:sz w:val="22"/>
          <w:szCs w:val="22"/>
          <w:highlight w:val="none"/>
          <w:lang w:val="en-US" w:eastAsia="zh-CN" w:bidi="zh-CN"/>
        </w:rPr>
        <w:t>自</w:t>
      </w:r>
      <w:r>
        <w:rPr>
          <w:rFonts w:hint="eastAsia" w:ascii="宋体" w:hAnsi="宋体" w:cs="宋体"/>
          <w:b w:val="0"/>
          <w:bCs w:val="0"/>
          <w:sz w:val="22"/>
          <w:szCs w:val="22"/>
          <w:highlight w:val="none"/>
          <w:lang w:val="en-US" w:eastAsia="zh-CN" w:bidi="zh-CN"/>
        </w:rPr>
        <w:t>合同签订之日起</w:t>
      </w:r>
      <w:r>
        <w:rPr>
          <w:rFonts w:hint="eastAsia" w:ascii="宋体" w:hAnsi="宋体" w:eastAsia="宋体" w:cs="宋体"/>
          <w:b w:val="0"/>
          <w:bCs w:val="0"/>
          <w:sz w:val="22"/>
          <w:szCs w:val="22"/>
          <w:highlight w:val="none"/>
          <w:lang w:val="en-US" w:eastAsia="zh-CN" w:bidi="zh-CN"/>
        </w:rPr>
        <w:t>）</w:t>
      </w:r>
      <w:r>
        <w:rPr>
          <w:rFonts w:hint="eastAsia" w:ascii="宋体" w:hAnsi="宋体" w:eastAsia="宋体" w:cs="宋体"/>
          <w:b w:val="0"/>
          <w:bCs w:val="0"/>
          <w:i w:val="0"/>
          <w:iCs w:val="0"/>
          <w:caps w:val="0"/>
          <w:spacing w:val="0"/>
          <w:sz w:val="22"/>
          <w:szCs w:val="2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（一）服务要求</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必须自觉遵守国家法律、法规，合法经营。严格按照《机动车维修管理规定》等有关技术标准和汽车维修工艺规范实施服务，确保维修质量符合交通行业主管部门全车大修、总成大修、二级维护和车辆竣工出厂“合格证”等管理制度。</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kern w:val="0"/>
          <w:sz w:val="22"/>
          <w:szCs w:val="22"/>
          <w:highlight w:val="none"/>
          <w:lang w:val="en-US" w:eastAsia="zh-CN" w:bidi="ar-SA"/>
        </w:rPr>
      </w:pPr>
      <w:r>
        <w:rPr>
          <w:rFonts w:hint="eastAsia" w:ascii="宋体" w:hAnsi="宋体" w:eastAsia="宋体" w:cs="宋体"/>
          <w:b w:val="0"/>
          <w:bCs w:val="0"/>
          <w:sz w:val="22"/>
          <w:szCs w:val="22"/>
          <w:highlight w:val="none"/>
          <w:lang w:val="en-US" w:eastAsia="zh-CN"/>
        </w:rPr>
        <w:t>2.维修车辆达不到采购人或国家规定的质量标准和技术要求而进行返修的，返修车辆不得再计价收费。车辆维修合格出厂执行质量保质期规定，整车大修和总成大修的质量保证期为自出厂之日起行驶20000公里或100天；二级维护的质量保证期为自出厂之日起行驶5000公里或30天；一级维护、小修及专项修理的质量保证期为自出厂之日起行驶2000公里或10天（质量保证期中行驶里程和日期指标以先达到者为</w:t>
      </w:r>
      <w:r>
        <w:rPr>
          <w:rFonts w:hint="eastAsia" w:ascii="宋体" w:hAnsi="宋体" w:eastAsia="宋体" w:cs="宋体"/>
          <w:b w:val="0"/>
          <w:bCs w:val="0"/>
          <w:kern w:val="0"/>
          <w:sz w:val="22"/>
          <w:szCs w:val="22"/>
          <w:highlight w:val="none"/>
          <w:lang w:val="en-US" w:eastAsia="zh-CN" w:bidi="ar-SA"/>
        </w:rPr>
        <w:t>准）。</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要及时、准确的送、取采购人维修车辆，并保证送修车辆的证件和车内物品安全，车辆在维修期间发生被盗或者事故，</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应负全部责任。在质量保证期内因维修质量发生的故障或事故，发生故障</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必须优先返修，费用已包含在合同结算总价中，如发生事故，</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应负全部责任。</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应严格执行汽车维修技术检验制度，合同期内采购人送修车辆返修率要控制在3％以内。</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应建立汽车维修档案，认真记录车辆维修情况。</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5.在质量保证期内，采购人车辆因同一故障或维修项目经两次修理仍不能正常使用的，</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应当负责联系其他维修厂，并承担相应修理费用。</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6.保证维修材料质量。所采用的零部件、配件等材料必须符合国家或部颁标准，不得使用假冒伪劣产品或以次充好，以旧顶新。</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7.</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须指定专人提供从接车到验车出厂的全过程服务</w:t>
      </w:r>
      <w:r>
        <w:rPr>
          <w:rFonts w:hint="eastAsia" w:cs="宋体"/>
          <w:b w:val="0"/>
          <w:bCs w:val="0"/>
          <w:sz w:val="22"/>
          <w:szCs w:val="22"/>
          <w:highlight w:val="none"/>
          <w:lang w:val="en-US" w:eastAsia="zh-CN"/>
        </w:rPr>
        <w:t>，</w:t>
      </w:r>
      <w:r>
        <w:rPr>
          <w:rFonts w:hint="eastAsia" w:ascii="宋体" w:hAnsi="宋体" w:eastAsia="宋体" w:cs="宋体"/>
          <w:b w:val="0"/>
          <w:bCs w:val="0"/>
          <w:sz w:val="22"/>
          <w:szCs w:val="22"/>
          <w:highlight w:val="none"/>
          <w:lang w:val="en-US" w:eastAsia="zh-CN"/>
        </w:rPr>
        <w:t>为</w:t>
      </w:r>
      <w:r>
        <w:rPr>
          <w:rFonts w:hint="eastAsia" w:cs="宋体"/>
          <w:b w:val="0"/>
          <w:bCs w:val="0"/>
          <w:sz w:val="22"/>
          <w:szCs w:val="22"/>
          <w:highlight w:val="none"/>
          <w:lang w:val="en-US" w:eastAsia="zh-CN"/>
        </w:rPr>
        <w:t>采购人</w:t>
      </w:r>
      <w:r>
        <w:rPr>
          <w:rFonts w:hint="eastAsia" w:ascii="宋体" w:hAnsi="宋体" w:eastAsia="宋体" w:cs="宋体"/>
          <w:b w:val="0"/>
          <w:bCs w:val="0"/>
          <w:sz w:val="22"/>
          <w:szCs w:val="22"/>
          <w:highlight w:val="none"/>
          <w:lang w:val="en-US" w:eastAsia="zh-CN"/>
        </w:rPr>
        <w:t>车辆提供优先服务，确保在规定的时限内完成维修服务，保障采购人用车需要。</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8.</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提供电话预约、上门服务、急修快修、救援、拖车等</w:t>
      </w:r>
      <w:r>
        <w:rPr>
          <w:rFonts w:hint="eastAsia" w:cs="宋体"/>
          <w:b w:val="0"/>
          <w:bCs w:val="0"/>
          <w:sz w:val="22"/>
          <w:szCs w:val="22"/>
          <w:highlight w:val="none"/>
          <w:lang w:val="en-US" w:eastAsia="zh-CN"/>
        </w:rPr>
        <w:t>日常及应急</w:t>
      </w:r>
      <w:r>
        <w:rPr>
          <w:rFonts w:hint="eastAsia" w:ascii="宋体" w:hAnsi="宋体" w:eastAsia="宋体" w:cs="宋体"/>
          <w:b w:val="0"/>
          <w:bCs w:val="0"/>
          <w:sz w:val="22"/>
          <w:szCs w:val="22"/>
          <w:highlight w:val="none"/>
          <w:lang w:val="en-US" w:eastAsia="zh-CN"/>
        </w:rPr>
        <w:t>服务。在珠海市行政区域内车辆发生故障需急修的，应及时派员抢修。</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应提供车辆在珠海市行政范围内提供24小时拖车服务以及接送维修服务（</w:t>
      </w:r>
      <w:r>
        <w:rPr>
          <w:rFonts w:hint="eastAsia" w:cs="宋体"/>
          <w:b w:val="0"/>
          <w:bCs w:val="0"/>
          <w:sz w:val="22"/>
          <w:szCs w:val="22"/>
          <w:highlight w:val="none"/>
          <w:lang w:val="en-US" w:eastAsia="zh-CN"/>
        </w:rPr>
        <w:t>原则上</w:t>
      </w:r>
      <w:r>
        <w:rPr>
          <w:rFonts w:hint="eastAsia" w:ascii="宋体" w:hAnsi="宋体" w:eastAsia="宋体" w:cs="宋体"/>
          <w:b w:val="0"/>
          <w:bCs w:val="0"/>
          <w:sz w:val="22"/>
          <w:szCs w:val="22"/>
          <w:highlight w:val="none"/>
          <w:lang w:val="en-US" w:eastAsia="zh-CN"/>
        </w:rPr>
        <w:t>45分钟内</w:t>
      </w:r>
      <w:r>
        <w:rPr>
          <w:rFonts w:hint="eastAsia" w:cs="宋体"/>
          <w:b w:val="0"/>
          <w:bCs w:val="0"/>
          <w:sz w:val="22"/>
          <w:szCs w:val="22"/>
          <w:highlight w:val="none"/>
          <w:lang w:val="en-US" w:eastAsia="zh-CN"/>
        </w:rPr>
        <w:t>需</w:t>
      </w:r>
      <w:r>
        <w:rPr>
          <w:rFonts w:hint="eastAsia" w:ascii="宋体" w:hAnsi="宋体" w:eastAsia="宋体" w:cs="宋体"/>
          <w:b w:val="0"/>
          <w:bCs w:val="0"/>
          <w:sz w:val="22"/>
          <w:szCs w:val="22"/>
          <w:highlight w:val="none"/>
          <w:lang w:val="en-US" w:eastAsia="zh-CN"/>
        </w:rPr>
        <w:t>到场）。此部分费用已包含在合同结算总价中。</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9.</w:t>
      </w:r>
      <w:r>
        <w:rPr>
          <w:rFonts w:hint="eastAsia" w:cs="宋体"/>
          <w:b w:val="0"/>
          <w:bCs w:val="0"/>
          <w:sz w:val="22"/>
          <w:szCs w:val="22"/>
          <w:highlight w:val="none"/>
          <w:lang w:val="en-US" w:eastAsia="zh-CN"/>
        </w:rPr>
        <w:t>供应商</w:t>
      </w:r>
      <w:r>
        <w:rPr>
          <w:rFonts w:hint="eastAsia" w:ascii="宋体" w:hAnsi="宋体" w:eastAsia="宋体" w:cs="宋体"/>
          <w:b w:val="0"/>
          <w:bCs w:val="0"/>
          <w:sz w:val="22"/>
          <w:szCs w:val="22"/>
          <w:highlight w:val="none"/>
          <w:lang w:val="en-US" w:eastAsia="zh-CN"/>
        </w:rPr>
        <w:t>应妥善保管好更换的旧件，出厂时交采购人处理，未经采购人同意不得擅自丢弃。对可以维修的部件，不得以换代修；不得与任意第三方串通，虚假修车或虚报维修项目，直接或间接损害采购人的利益。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cs="宋体"/>
          <w:b/>
          <w:bCs/>
          <w:sz w:val="24"/>
          <w:szCs w:val="24"/>
          <w:lang w:val="en-US" w:eastAsia="zh-CN"/>
        </w:rPr>
        <w:t>定</w:t>
      </w:r>
      <w:r>
        <w:rPr>
          <w:rFonts w:hint="eastAsia" w:ascii="宋体" w:hAnsi="宋体" w:eastAsia="宋体" w:cs="宋体"/>
          <w:b/>
          <w:bCs/>
          <w:sz w:val="24"/>
          <w:szCs w:val="24"/>
          <w:lang w:val="en-US" w:eastAsia="zh-CN"/>
        </w:rPr>
        <w:t>价</w:t>
      </w:r>
      <w:r>
        <w:rPr>
          <w:rFonts w:hint="eastAsia" w:cs="宋体"/>
          <w:b/>
          <w:bCs/>
          <w:sz w:val="24"/>
          <w:szCs w:val="24"/>
          <w:lang w:val="en-US" w:eastAsia="zh-CN"/>
        </w:rPr>
        <w:t>及结算要求</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1.车辆维修</w:t>
      </w:r>
      <w:r>
        <w:rPr>
          <w:rFonts w:hint="eastAsia" w:cs="宋体"/>
          <w:b/>
          <w:bCs/>
          <w:sz w:val="22"/>
          <w:szCs w:val="22"/>
          <w:highlight w:val="none"/>
          <w:lang w:val="en-US" w:eastAsia="zh-CN"/>
        </w:rPr>
        <w:t>定价要求</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（1）工时单价，工时单价是指维修车辆单位工作时间的维修成本费用、税金、利润之和。汽车修理过程中的辅助材料（消耗料）含在工时单价中，不得另行计价收费。</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（2）汽修配件价格，不得高于同期市场平均价，且不得高于中标人同期销售平均价。汽车配件价格发生变化时，需将配件价格变化情况通知采购人。</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w:t>
      </w:r>
      <w:r>
        <w:rPr>
          <w:rFonts w:hint="eastAsia" w:cs="宋体"/>
          <w:b w:val="0"/>
          <w:bCs w:val="0"/>
          <w:sz w:val="22"/>
          <w:szCs w:val="22"/>
          <w:highlight w:val="none"/>
          <w:lang w:val="en-US" w:eastAsia="zh-CN"/>
        </w:rPr>
        <w:t>3</w:t>
      </w:r>
      <w:r>
        <w:rPr>
          <w:rFonts w:hint="eastAsia" w:ascii="宋体" w:hAnsi="宋体" w:eastAsia="宋体" w:cs="宋体"/>
          <w:b w:val="0"/>
          <w:bCs w:val="0"/>
          <w:sz w:val="22"/>
          <w:szCs w:val="22"/>
          <w:highlight w:val="none"/>
          <w:lang w:val="en-US" w:eastAsia="zh-CN"/>
        </w:rPr>
        <w:t>）根据“送修单”上填写的拟维修项目对送修车辆进行检测、拟定维修方案和计价，未征得采购人同意和认可，不得擅自更改维修项目。对可以维修的部件，不得以换代修；不得与任何人串通，虚假修车或虚报维修项目，损害采购人的利益。</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w:t>
      </w:r>
      <w:r>
        <w:rPr>
          <w:rFonts w:hint="eastAsia" w:cs="宋体"/>
          <w:b w:val="0"/>
          <w:bCs w:val="0"/>
          <w:sz w:val="22"/>
          <w:szCs w:val="22"/>
          <w:highlight w:val="none"/>
          <w:lang w:val="en-US" w:eastAsia="zh-CN"/>
        </w:rPr>
        <w:t>4</w:t>
      </w:r>
      <w:r>
        <w:rPr>
          <w:rFonts w:hint="eastAsia" w:ascii="宋体" w:hAnsi="宋体" w:eastAsia="宋体" w:cs="宋体"/>
          <w:b w:val="0"/>
          <w:bCs w:val="0"/>
          <w:sz w:val="22"/>
          <w:szCs w:val="22"/>
          <w:highlight w:val="none"/>
          <w:lang w:val="en-US" w:eastAsia="zh-CN"/>
        </w:rPr>
        <w:t>）实行明码标价，优惠公开。中标人应当在其营业结算室醒目位置以固定形式张贴公布计价公式、维修工时定额及其收费标准，并提供</w:t>
      </w:r>
      <w:r>
        <w:rPr>
          <w:rFonts w:hint="eastAsia" w:cs="宋体"/>
          <w:b w:val="0"/>
          <w:bCs w:val="0"/>
          <w:sz w:val="22"/>
          <w:szCs w:val="22"/>
          <w:highlight w:val="none"/>
          <w:lang w:val="en-US" w:eastAsia="zh-CN"/>
        </w:rPr>
        <w:t>采购人所在地区</w:t>
      </w:r>
      <w:r>
        <w:rPr>
          <w:rFonts w:hint="eastAsia" w:ascii="宋体" w:hAnsi="宋体" w:eastAsia="宋体" w:cs="宋体"/>
          <w:b w:val="0"/>
          <w:bCs w:val="0"/>
          <w:sz w:val="22"/>
          <w:szCs w:val="22"/>
          <w:highlight w:val="none"/>
          <w:lang w:val="en-US" w:eastAsia="zh-CN"/>
        </w:rPr>
        <w:t>现行</w:t>
      </w:r>
      <w:r>
        <w:rPr>
          <w:rFonts w:hint="eastAsia" w:cs="宋体"/>
          <w:b w:val="0"/>
          <w:bCs w:val="0"/>
          <w:sz w:val="22"/>
          <w:szCs w:val="22"/>
          <w:highlight w:val="none"/>
          <w:lang w:val="en-US" w:eastAsia="zh-CN"/>
        </w:rPr>
        <w:t>最新</w:t>
      </w:r>
      <w:r>
        <w:rPr>
          <w:rFonts w:hint="eastAsia" w:ascii="宋体" w:hAnsi="宋体" w:eastAsia="宋体" w:cs="宋体"/>
          <w:b w:val="0"/>
          <w:bCs w:val="0"/>
          <w:sz w:val="22"/>
          <w:szCs w:val="22"/>
          <w:highlight w:val="none"/>
          <w:lang w:val="en-US" w:eastAsia="zh-CN"/>
        </w:rPr>
        <w:t>《</w:t>
      </w:r>
      <w:bookmarkStart w:id="4" w:name="OLE_LINK3"/>
      <w:r>
        <w:rPr>
          <w:rFonts w:hint="eastAsia" w:ascii="宋体" w:hAnsi="宋体" w:eastAsia="宋体" w:cs="宋体"/>
          <w:b w:val="0"/>
          <w:bCs w:val="0"/>
          <w:sz w:val="22"/>
          <w:szCs w:val="22"/>
          <w:highlight w:val="none"/>
          <w:lang w:val="en-US" w:eastAsia="zh-CN"/>
        </w:rPr>
        <w:t>汽车维修行业工时定额</w:t>
      </w:r>
      <w:bookmarkEnd w:id="4"/>
      <w:r>
        <w:rPr>
          <w:rFonts w:hint="eastAsia" w:ascii="宋体" w:hAnsi="宋体" w:eastAsia="宋体" w:cs="宋体"/>
          <w:b w:val="0"/>
          <w:bCs w:val="0"/>
          <w:sz w:val="22"/>
          <w:szCs w:val="22"/>
          <w:highlight w:val="none"/>
          <w:lang w:val="en-US" w:eastAsia="zh-CN"/>
        </w:rPr>
        <w:t>》供采购人查询。中标人车辆维修计价公式为：维修费总金额＝工时定额×工时中标单价＋材料费。</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2.结算管理要求</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（1）中标人必须使用电脑打印结算清单，必须标明维修项目名称、工时定额、工时中标单价、材料进货价（必须标明正厂还是副厂）</w:t>
      </w:r>
      <w:r>
        <w:rPr>
          <w:rFonts w:hint="eastAsia" w:cs="宋体"/>
          <w:b w:val="0"/>
          <w:bCs w:val="0"/>
          <w:sz w:val="22"/>
          <w:szCs w:val="22"/>
          <w:highlight w:val="none"/>
          <w:lang w:val="en-US" w:eastAsia="zh-CN"/>
        </w:rPr>
        <w:t>，</w:t>
      </w:r>
      <w:r>
        <w:rPr>
          <w:rFonts w:hint="eastAsia" w:ascii="宋体" w:hAnsi="宋体" w:eastAsia="宋体" w:cs="宋体"/>
          <w:b w:val="0"/>
          <w:bCs w:val="0"/>
          <w:sz w:val="22"/>
          <w:szCs w:val="22"/>
          <w:highlight w:val="none"/>
          <w:lang w:val="en-US" w:eastAsia="zh-CN"/>
        </w:rPr>
        <w:t>应将修理项目的工时费、材料费分列清楚。</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（2）维修项目、配件等材料更换必须先报价并征得</w:t>
      </w:r>
      <w:r>
        <w:rPr>
          <w:rFonts w:hint="eastAsia" w:cs="宋体"/>
          <w:b w:val="0"/>
          <w:bCs w:val="0"/>
          <w:sz w:val="22"/>
          <w:szCs w:val="22"/>
          <w:highlight w:val="none"/>
          <w:lang w:val="en-US" w:eastAsia="zh-CN"/>
        </w:rPr>
        <w:t>采购</w:t>
      </w:r>
      <w:r>
        <w:rPr>
          <w:rFonts w:hint="eastAsia" w:ascii="宋体" w:hAnsi="宋体" w:eastAsia="宋体" w:cs="宋体"/>
          <w:b w:val="0"/>
          <w:bCs w:val="0"/>
          <w:sz w:val="22"/>
          <w:szCs w:val="22"/>
          <w:highlight w:val="none"/>
          <w:lang w:val="en-US" w:eastAsia="zh-CN"/>
        </w:rPr>
        <w:t>人同意</w:t>
      </w:r>
      <w:r>
        <w:rPr>
          <w:rFonts w:hint="eastAsia" w:cs="宋体"/>
          <w:b w:val="0"/>
          <w:bCs w:val="0"/>
          <w:sz w:val="22"/>
          <w:szCs w:val="22"/>
          <w:highlight w:val="none"/>
          <w:lang w:val="en-US" w:eastAsia="zh-CN"/>
        </w:rPr>
        <w:t>后</w:t>
      </w:r>
      <w:r>
        <w:rPr>
          <w:rFonts w:hint="eastAsia" w:ascii="宋体" w:hAnsi="宋体" w:eastAsia="宋体" w:cs="宋体"/>
          <w:b w:val="0"/>
          <w:bCs w:val="0"/>
          <w:sz w:val="22"/>
          <w:szCs w:val="22"/>
          <w:highlight w:val="none"/>
          <w:lang w:val="en-US" w:eastAsia="zh-CN"/>
        </w:rPr>
        <w:t>方可进行维修换件</w:t>
      </w:r>
      <w:r>
        <w:rPr>
          <w:rFonts w:hint="eastAsia" w:cs="宋体"/>
          <w:b w:val="0"/>
          <w:bCs w:val="0"/>
          <w:sz w:val="22"/>
          <w:szCs w:val="22"/>
          <w:highlight w:val="none"/>
          <w:lang w:val="en-US" w:eastAsia="zh-CN"/>
        </w:rPr>
        <w:t>，</w:t>
      </w:r>
      <w:r>
        <w:rPr>
          <w:rFonts w:hint="eastAsia" w:ascii="宋体" w:hAnsi="宋体" w:eastAsia="宋体" w:cs="宋体"/>
          <w:b w:val="0"/>
          <w:bCs w:val="0"/>
          <w:sz w:val="22"/>
          <w:szCs w:val="22"/>
          <w:highlight w:val="none"/>
          <w:lang w:val="en-US" w:eastAsia="zh-CN"/>
        </w:rPr>
        <w:t>在维修过程中新增加或变更维修项目、配件材料的，也应事先征得</w:t>
      </w:r>
      <w:r>
        <w:rPr>
          <w:rFonts w:hint="eastAsia" w:cs="宋体"/>
          <w:b w:val="0"/>
          <w:bCs w:val="0"/>
          <w:sz w:val="22"/>
          <w:szCs w:val="22"/>
          <w:highlight w:val="none"/>
          <w:lang w:val="en-US" w:eastAsia="zh-CN"/>
        </w:rPr>
        <w:t>采购</w:t>
      </w:r>
      <w:r>
        <w:rPr>
          <w:rFonts w:hint="eastAsia" w:ascii="宋体" w:hAnsi="宋体" w:eastAsia="宋体" w:cs="宋体"/>
          <w:b w:val="0"/>
          <w:bCs w:val="0"/>
          <w:sz w:val="22"/>
          <w:szCs w:val="22"/>
          <w:highlight w:val="none"/>
          <w:lang w:val="en-US" w:eastAsia="zh-CN"/>
        </w:rPr>
        <w:t>人同意，双方就加项延长时间及维修费用等问题进行商定。修车更换下来的旧件要退还</w:t>
      </w:r>
      <w:r>
        <w:rPr>
          <w:rFonts w:hint="eastAsia" w:cs="宋体"/>
          <w:b w:val="0"/>
          <w:bCs w:val="0"/>
          <w:sz w:val="22"/>
          <w:szCs w:val="22"/>
          <w:highlight w:val="none"/>
          <w:lang w:val="en-US" w:eastAsia="zh-CN"/>
        </w:rPr>
        <w:t>采购</w:t>
      </w:r>
      <w:r>
        <w:rPr>
          <w:rFonts w:hint="eastAsia" w:ascii="宋体" w:hAnsi="宋体" w:eastAsia="宋体" w:cs="宋体"/>
          <w:b w:val="0"/>
          <w:bCs w:val="0"/>
          <w:sz w:val="22"/>
          <w:szCs w:val="22"/>
          <w:highlight w:val="none"/>
          <w:lang w:val="en-US" w:eastAsia="zh-CN"/>
        </w:rPr>
        <w:t>人，并在委托维修单上认真填写车辆维修的具体部位和消耗材料、部件及计价情况。</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（3）对竣工的送修车辆，严格核对送修单、结算单、车牌号，核对无误后，方可结算。不可提前结算或弄虚作假，原始修理清单及相关档案要妥善保管，以备查验。</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（4）对竣工车辆，如发现不合格或与“送修单”上项目不符，采购人有权要求中标人无偿返工；因中标人违反合同给送修单位造成损失时，有权对违约中标人处以相应的违约赔偿。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（三）监控要求</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中标人必须对车辆维修实行计算机管理。中标人必须通过计算机对车辆基本情况、技术档案、维修档案、汽车配件材料、计费结算等进行管理。车辆技术档案包括车辆基本情况记录、车辆技术状况等级鉴定（年审）记录、车辆检测记录、其他应当建档的记录。车辆维修档案包括车辆日常维护、一级维护二级维护、汽车大修、总成修理、汽车小修、二十四小时拖车、代办车辆年审和其他有关的汽车维修服务项目、维修服务费用记录、其它应当建档的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（四）其他要求</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中标人在履行车辆维修合同期间，出现下列情况之一，经调查属实后，采购人有权按照合同约定，单方面终止本协议，并根据情节按有关法律法规进行处理：</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（1）违反法律法规、本招标文件有关规定及行业规范要求被有关部门查处的；</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（2）中标人资质降低的；</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（3）没有按照价格优惠要求，擅自抬高收费价格经查实的；</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（4）虚假修车或虚报维修项目经查实的；</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（5）通过给佣金或变相给佣金的方式招揽维修业务经查实的；</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sz w:val="22"/>
          <w:szCs w:val="22"/>
          <w:highlight w:val="none"/>
          <w:lang w:val="en-US" w:eastAsia="zh-CN"/>
        </w:rPr>
        <w:t>（6）被采购人送修车辆的部门有效投诉三次以上（不含三次）的。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（五）代办车辆年审等业务要求</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1.全程办理车辆年度检验，包括预约、排队、检测、领证等手续。</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2.确保车辆顺利通过年审，减少医院时间成本。</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3.根据医院实际需要，提供车辆保险办理、车损理赔、车船税等代缴服务。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三、商务要求</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default" w:ascii="宋体" w:hAnsi="宋体" w:eastAsia="宋体" w:cs="宋体"/>
          <w:b w:val="0"/>
          <w:bCs w:val="0"/>
          <w:sz w:val="22"/>
          <w:szCs w:val="22"/>
          <w:highlight w:val="none"/>
          <w:lang w:val="en-US" w:eastAsia="zh-CN"/>
        </w:rPr>
      </w:pPr>
      <w:r>
        <w:rPr>
          <w:rFonts w:hint="default" w:ascii="宋体" w:hAnsi="宋体" w:eastAsia="宋体" w:cs="宋体"/>
          <w:b w:val="0"/>
          <w:bCs w:val="0"/>
          <w:sz w:val="22"/>
          <w:szCs w:val="22"/>
          <w:highlight w:val="none"/>
          <w:lang w:val="en-US" w:eastAsia="zh-CN"/>
        </w:rPr>
        <w:t>1.标的提供的时间：自合同签订之日起</w:t>
      </w:r>
      <w:r>
        <w:rPr>
          <w:rFonts w:hint="eastAsia" w:ascii="宋体" w:hAnsi="宋体" w:eastAsia="宋体" w:cs="宋体"/>
          <w:b w:val="0"/>
          <w:bCs w:val="0"/>
          <w:sz w:val="22"/>
          <w:szCs w:val="22"/>
          <w:highlight w:val="none"/>
          <w:lang w:val="en-US" w:eastAsia="zh-CN"/>
        </w:rPr>
        <w:t>三</w:t>
      </w:r>
      <w:r>
        <w:rPr>
          <w:rFonts w:hint="default" w:ascii="宋体" w:hAnsi="宋体" w:eastAsia="宋体" w:cs="宋体"/>
          <w:b w:val="0"/>
          <w:bCs w:val="0"/>
          <w:sz w:val="22"/>
          <w:szCs w:val="22"/>
          <w:highlight w:val="none"/>
          <w:lang w:val="en-US" w:eastAsia="zh-CN"/>
        </w:rPr>
        <w:t>年。</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default" w:ascii="宋体" w:hAnsi="宋体" w:eastAsia="宋体" w:cs="宋体"/>
          <w:b w:val="0"/>
          <w:bCs w:val="0"/>
          <w:sz w:val="22"/>
          <w:szCs w:val="22"/>
          <w:highlight w:val="none"/>
          <w:lang w:val="en-US" w:eastAsia="zh-CN"/>
        </w:rPr>
      </w:pPr>
      <w:r>
        <w:rPr>
          <w:rFonts w:hint="default" w:ascii="宋体" w:hAnsi="宋体" w:eastAsia="宋体" w:cs="宋体"/>
          <w:b w:val="0"/>
          <w:bCs w:val="0"/>
          <w:sz w:val="22"/>
          <w:szCs w:val="22"/>
          <w:highlight w:val="none"/>
          <w:lang w:val="en-US" w:eastAsia="zh-CN"/>
        </w:rPr>
        <w:t>2.标的提供的地点：采购人指定地点</w:t>
      </w:r>
      <w:r>
        <w:rPr>
          <w:rFonts w:hint="eastAsia" w:ascii="宋体" w:hAnsi="宋体" w:eastAsia="宋体" w:cs="宋体"/>
          <w:b w:val="0"/>
          <w:bCs w:val="0"/>
          <w:sz w:val="22"/>
          <w:szCs w:val="22"/>
          <w:highlight w:val="none"/>
          <w:lang w:val="en-US" w:eastAsia="zh-CN"/>
        </w:rPr>
        <w:t>。</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3.在结算时，必须提供送修单、报价单、结算单等，必须标明维修项目名称、工时数量、工时单价，将更换零件项目材料费</w:t>
      </w:r>
      <w:r>
        <w:rPr>
          <w:rFonts w:hint="eastAsia" w:cs="宋体"/>
          <w:b w:val="0"/>
          <w:bCs w:val="0"/>
          <w:sz w:val="22"/>
          <w:szCs w:val="22"/>
          <w:highlight w:val="none"/>
          <w:lang w:val="en-US" w:eastAsia="zh-CN"/>
        </w:rPr>
        <w:t>等费用</w:t>
      </w:r>
      <w:r>
        <w:rPr>
          <w:rFonts w:hint="eastAsia" w:ascii="宋体" w:hAnsi="宋体" w:eastAsia="宋体" w:cs="宋体"/>
          <w:b w:val="0"/>
          <w:bCs w:val="0"/>
          <w:sz w:val="22"/>
          <w:szCs w:val="22"/>
          <w:highlight w:val="none"/>
          <w:lang w:val="en-US" w:eastAsia="zh-CN"/>
        </w:rPr>
        <w:t>分列清楚。</w:t>
      </w:r>
      <w:r>
        <w:rPr>
          <w:rFonts w:hint="eastAsia" w:cs="宋体"/>
          <w:b w:val="0"/>
          <w:bCs w:val="0"/>
          <w:sz w:val="22"/>
          <w:szCs w:val="22"/>
          <w:highlight w:val="none"/>
          <w:lang w:val="en-US" w:eastAsia="zh-CN"/>
        </w:rPr>
        <w:t>采购人核对结算金额无误后，</w:t>
      </w:r>
      <w:r>
        <w:rPr>
          <w:rFonts w:hint="default" w:ascii="宋体" w:hAnsi="宋体" w:eastAsia="宋体" w:cs="宋体"/>
          <w:b w:val="0"/>
          <w:bCs w:val="0"/>
          <w:sz w:val="22"/>
          <w:szCs w:val="22"/>
          <w:highlight w:val="none"/>
          <w:lang w:val="en-US" w:eastAsia="zh-CN"/>
        </w:rPr>
        <w:t>中标人向采购人提供上个结算周期应结算的正式等额发票，采购人收到发票</w:t>
      </w:r>
      <w:r>
        <w:rPr>
          <w:rFonts w:hint="eastAsia" w:ascii="宋体" w:hAnsi="宋体" w:eastAsia="宋体" w:cs="宋体"/>
          <w:b w:val="0"/>
          <w:bCs w:val="0"/>
          <w:sz w:val="22"/>
          <w:szCs w:val="22"/>
          <w:highlight w:val="none"/>
          <w:lang w:val="en-US" w:eastAsia="zh-CN"/>
        </w:rPr>
        <w:t>核对无误</w:t>
      </w:r>
      <w:r>
        <w:rPr>
          <w:rFonts w:hint="default" w:ascii="宋体" w:hAnsi="宋体" w:eastAsia="宋体" w:cs="宋体"/>
          <w:b w:val="0"/>
          <w:bCs w:val="0"/>
          <w:sz w:val="22"/>
          <w:szCs w:val="22"/>
          <w:highlight w:val="none"/>
          <w:lang w:val="en-US" w:eastAsia="zh-CN"/>
        </w:rPr>
        <w:t>后</w:t>
      </w:r>
      <w:r>
        <w:rPr>
          <w:rFonts w:hint="eastAsia" w:ascii="宋体" w:hAnsi="宋体" w:eastAsia="宋体" w:cs="宋体"/>
          <w:b w:val="0"/>
          <w:bCs w:val="0"/>
          <w:sz w:val="22"/>
          <w:szCs w:val="22"/>
          <w:highlight w:val="none"/>
          <w:lang w:val="en-US" w:eastAsia="zh-CN"/>
        </w:rPr>
        <w:t>60个日历天</w:t>
      </w:r>
      <w:r>
        <w:rPr>
          <w:rFonts w:hint="default" w:ascii="宋体" w:hAnsi="宋体" w:eastAsia="宋体" w:cs="宋体"/>
          <w:b w:val="0"/>
          <w:bCs w:val="0"/>
          <w:sz w:val="22"/>
          <w:szCs w:val="22"/>
          <w:highlight w:val="none"/>
          <w:lang w:val="en-US" w:eastAsia="zh-CN"/>
        </w:rPr>
        <w:t>向中标人支付结算费用。结算金额＝工时定额×工时中标单价</w:t>
      </w:r>
      <w:r>
        <w:rPr>
          <w:rFonts w:hint="eastAsia" w:ascii="宋体" w:hAnsi="宋体" w:eastAsia="宋体" w:cs="宋体"/>
          <w:b w:val="0"/>
          <w:bCs w:val="0"/>
          <w:sz w:val="22"/>
          <w:szCs w:val="22"/>
          <w:highlight w:val="none"/>
          <w:lang w:val="en-US" w:eastAsia="zh-CN"/>
        </w:rPr>
        <w:t>＋</w:t>
      </w:r>
      <w:r>
        <w:rPr>
          <w:rFonts w:hint="default" w:ascii="宋体" w:hAnsi="宋体" w:eastAsia="宋体" w:cs="宋体"/>
          <w:b w:val="0"/>
          <w:bCs w:val="0"/>
          <w:sz w:val="22"/>
          <w:szCs w:val="22"/>
          <w:highlight w:val="none"/>
          <w:lang w:val="en-US" w:eastAsia="zh-CN"/>
        </w:rPr>
        <w:t>材料费</w:t>
      </w:r>
      <w:r>
        <w:rPr>
          <w:rFonts w:hint="eastAsia" w:ascii="宋体" w:hAnsi="宋体" w:eastAsia="宋体" w:cs="宋体"/>
          <w:b w:val="0"/>
          <w:bCs w:val="0"/>
          <w:sz w:val="22"/>
          <w:szCs w:val="22"/>
          <w:highlight w:val="none"/>
          <w:lang w:val="en-US" w:eastAsia="zh-CN"/>
        </w:rPr>
        <w:t>。</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4.在结算时，如采购人发现结算资料与送修单上项目不符，又未征求采购人同意，采购人有权拒付维修费或要求供应商支付当次修理费用总额30％的违约金。</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5.验收要求：</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（1）检查和核对：采购人需对维修竣工的车辆进行全面检查，核实维修工作是否按照报修单内容的要求完成。</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（2）维修价格核对：采购人需确认实际维修项目和费用是否与合同约定一致，避免出现超支或不合理的收费。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四</w:t>
      </w:r>
      <w:r>
        <w:rPr>
          <w:rFonts w:hint="eastAsia" w:ascii="宋体" w:hAnsi="宋体" w:eastAsia="宋体" w:cs="宋体"/>
          <w:b/>
          <w:bCs/>
          <w:sz w:val="24"/>
          <w:szCs w:val="24"/>
          <w:lang w:val="en-US" w:eastAsia="zh-CN"/>
        </w:rPr>
        <w:t>、评审方法及评审标准</w:t>
      </w:r>
    </w:p>
    <w:p>
      <w:pPr>
        <w:pStyle w:val="7"/>
        <w:keepNext w:val="0"/>
        <w:keepLines w:val="0"/>
        <w:pageBreakBefore w:val="0"/>
        <w:widowControl w:val="0"/>
        <w:kinsoku/>
        <w:wordWrap/>
        <w:overflowPunct/>
        <w:topLinePunct w:val="0"/>
        <w:bidi w:val="0"/>
        <w:adjustRightInd/>
        <w:snapToGrid/>
        <w:spacing w:line="360" w:lineRule="auto"/>
        <w:ind w:firstLine="44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本次采购采用综合评分法，即在最大限度地满足采购文件实质性要求前提下，按以下评分细则进行评分。总分为100分，以评审总得分排名前3名的供应商作为中标单位。</w:t>
      </w:r>
    </w:p>
    <w:p>
      <w:pPr>
        <w:pStyle w:val="14"/>
        <w:rPr>
          <w:rFonts w:hint="eastAsia"/>
        </w:rPr>
      </w:pPr>
    </w:p>
    <w:p>
      <w:pPr>
        <w:pStyle w:val="14"/>
        <w:keepNext w:val="0"/>
        <w:keepLines w:val="0"/>
        <w:pageBreakBefore w:val="0"/>
        <w:widowControl w:val="0"/>
        <w:kinsoku/>
        <w:wordWrap/>
        <w:overflowPunct/>
        <w:topLinePunct w:val="0"/>
        <w:autoSpaceDE w:val="0"/>
        <w:autoSpaceDN w:val="0"/>
        <w:bidi w:val="0"/>
        <w:adjustRightInd/>
        <w:snapToGrid/>
        <w:spacing w:after="0" w:line="500" w:lineRule="exact"/>
        <w:ind w:left="0" w:leftChars="0" w:firstLine="560" w:firstLineChars="200"/>
        <w:textAlignment w:val="auto"/>
        <w:rPr>
          <w:rFonts w:hint="eastAsia" w:asciiTheme="minorEastAsia" w:hAnsiTheme="minorEastAsia" w:eastAsiaTheme="minorEastAsia" w:cstheme="minorEastAsia"/>
          <w:i w:val="0"/>
          <w:caps w:val="0"/>
          <w:color w:val="auto"/>
          <w:spacing w:val="0"/>
          <w:sz w:val="28"/>
          <w:szCs w:val="28"/>
          <w:shd w:val="clear" w:fill="FFFFFF"/>
        </w:rPr>
        <w:sectPr>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r>
        <w:rPr>
          <w:rFonts w:hint="eastAsia" w:ascii="宋体" w:hAnsi="宋体" w:eastAsia="宋体" w:cs="宋体"/>
          <w:b/>
          <w:color w:val="auto"/>
          <w:sz w:val="36"/>
          <w:szCs w:val="44"/>
          <w:highlight w:val="none"/>
          <w:lang w:val="en-US" w:eastAsia="zh-CN" w:bidi="ar-SA"/>
        </w:rPr>
        <w:t>第三部分  投标人须知前附表</w:t>
      </w:r>
    </w:p>
    <w:p>
      <w:pPr>
        <w:widowControl w:val="0"/>
        <w:spacing w:line="360" w:lineRule="auto"/>
        <w:ind w:firstLine="0" w:firstLine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本表是对《投标人须知》的具体补充和说明，如有矛盾，应以本表为准（本表条款号为第六部分相应条款的条款号）。</w:t>
      </w:r>
    </w:p>
    <w:tbl>
      <w:tblPr>
        <w:tblStyle w:val="16"/>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8"/>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条款号</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 w:hRule="atLeast"/>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说</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 w:hRule="atLeast"/>
          <w:jc w:val="center"/>
        </w:trPr>
        <w:tc>
          <w:tcPr>
            <w:tcW w:w="728" w:type="dxa"/>
            <w:noWrap w:val="0"/>
            <w:vAlign w:val="center"/>
          </w:tcPr>
          <w:p>
            <w:pPr>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8711" w:type="dxa"/>
            <w:noWrap w:val="0"/>
            <w:vAlign w:val="center"/>
          </w:tcPr>
          <w:p>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项目名称：珠海市香洲区第二人民医院</w:t>
            </w:r>
            <w:bookmarkStart w:id="5" w:name="OLE_LINK4"/>
            <w:r>
              <w:rPr>
                <w:rFonts w:hint="eastAsia" w:cs="宋体"/>
                <w:color w:val="auto"/>
                <w:sz w:val="21"/>
                <w:szCs w:val="21"/>
                <w:highlight w:val="none"/>
                <w:lang w:val="en-US" w:eastAsia="zh-CN" w:bidi="ar-SA"/>
              </w:rPr>
              <w:t>车辆</w:t>
            </w:r>
            <w:bookmarkEnd w:id="5"/>
            <w:r>
              <w:rPr>
                <w:rFonts w:hint="eastAsia" w:cs="宋体"/>
                <w:color w:val="auto"/>
                <w:sz w:val="21"/>
                <w:szCs w:val="21"/>
                <w:highlight w:val="none"/>
                <w:lang w:val="en-US" w:eastAsia="zh-CN" w:bidi="ar-SA"/>
              </w:rPr>
              <w:t>定点维修服务年度供应商采购</w:t>
            </w:r>
            <w:r>
              <w:rPr>
                <w:rFonts w:hint="eastAsia" w:ascii="宋体" w:hAnsi="宋体" w:eastAsia="宋体" w:cs="宋体"/>
                <w:color w:val="auto"/>
                <w:sz w:val="21"/>
                <w:szCs w:val="21"/>
                <w:highlight w:val="none"/>
                <w:lang w:val="en-US" w:eastAsia="zh-CN" w:bidi="ar-SA"/>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2.1</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采购人名称：</w:t>
            </w:r>
            <w:r>
              <w:rPr>
                <w:rFonts w:hint="eastAsia" w:ascii="宋体" w:hAnsi="宋体" w:eastAsia="宋体" w:cs="Times New Roman"/>
                <w:color w:val="auto"/>
                <w:sz w:val="21"/>
                <w:szCs w:val="21"/>
                <w:highlight w:val="none"/>
                <w:lang w:val="en-US" w:eastAsia="zh-CN" w:bidi="ar-SA"/>
              </w:rPr>
              <w:t>珠海市香洲区第二人民医院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2.2</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投标人资格要求：详见招标公告“申请人的资格要求”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2.3</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投标报价：投标报价包括完成所有服务内容所需的物资成本、人力成本、管理费、利润、税费等承接本项目工作范围内的一切费用，投标人综合考虑报价。所有价格均应以人民币报价，金额单位为元。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投标有效期：开标之日起90个日历日。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47" w:hRule="atLeast"/>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投标文件数量（标注“■”为确定方式）：</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■（1）纸质投标文件：正本一份，副本</w:t>
            </w:r>
            <w:r>
              <w:rPr>
                <w:rFonts w:hint="eastAsia" w:cs="宋体"/>
                <w:color w:val="auto"/>
                <w:sz w:val="21"/>
                <w:szCs w:val="21"/>
                <w:highlight w:val="none"/>
                <w:lang w:val="en-US" w:eastAsia="zh-CN" w:bidi="ar-SA"/>
              </w:rPr>
              <w:t>贰</w:t>
            </w:r>
            <w:r>
              <w:rPr>
                <w:rFonts w:hint="eastAsia" w:ascii="宋体" w:hAnsi="宋体" w:eastAsia="宋体" w:cs="宋体"/>
                <w:color w:val="auto"/>
                <w:sz w:val="21"/>
                <w:szCs w:val="21"/>
                <w:highlight w:val="none"/>
                <w:lang w:val="en-US" w:eastAsia="zh-CN" w:bidi="ar-SA"/>
              </w:rPr>
              <w:t>份。（根据“节约能源、保护环境”的理念，建议投标人采用A4纸、双面打印、胶装）</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□（2）电子版投标文件：一份。（投标人根据</w:t>
            </w:r>
            <w:r>
              <w:rPr>
                <w:rFonts w:hint="eastAsia" w:ascii="Calibri" w:hAnsi="宋体" w:eastAsia="宋体" w:cs="宋体"/>
                <w:color w:val="auto"/>
                <w:sz w:val="21"/>
                <w:szCs w:val="21"/>
                <w:highlight w:val="none"/>
                <w:lang w:val="en-US" w:eastAsia="zh-CN" w:bidi="ar-SA"/>
              </w:rPr>
              <w:t>招标文件</w:t>
            </w:r>
            <w:r>
              <w:rPr>
                <w:rFonts w:hint="eastAsia" w:ascii="宋体" w:hAnsi="宋体" w:eastAsia="宋体" w:cs="宋体"/>
                <w:color w:val="auto"/>
                <w:sz w:val="21"/>
                <w:szCs w:val="21"/>
                <w:highlight w:val="none"/>
                <w:lang w:val="en-US" w:eastAsia="zh-CN" w:bidi="ar-SA"/>
              </w:rPr>
              <w:t>编制要求制作投标文件</w:t>
            </w:r>
            <w:r>
              <w:rPr>
                <w:rFonts w:hint="eastAsia" w:ascii="Calibri"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签字、盖章</w:t>
            </w:r>
            <w:r>
              <w:rPr>
                <w:rFonts w:hint="eastAsia" w:ascii="Calibri" w:hAnsi="宋体" w:eastAsia="宋体" w:cs="宋体"/>
                <w:color w:val="auto"/>
                <w:sz w:val="21"/>
                <w:szCs w:val="21"/>
                <w:highlight w:val="none"/>
                <w:lang w:val="en-US" w:eastAsia="zh-CN" w:bidi="ar-SA"/>
              </w:rPr>
              <w:t>后</w:t>
            </w:r>
            <w:r>
              <w:rPr>
                <w:rFonts w:hint="eastAsia" w:ascii="宋体" w:hAnsi="宋体" w:eastAsia="宋体" w:cs="宋体"/>
                <w:color w:val="auto"/>
                <w:sz w:val="21"/>
                <w:szCs w:val="21"/>
                <w:highlight w:val="none"/>
                <w:lang w:val="en-US" w:eastAsia="zh-CN" w:bidi="ar-SA"/>
              </w:rPr>
              <w:t>将</w:t>
            </w:r>
            <w:r>
              <w:rPr>
                <w:rFonts w:hint="eastAsia" w:ascii="Calibri" w:hAnsi="宋体" w:eastAsia="宋体" w:cs="宋体"/>
                <w:color w:val="auto"/>
                <w:sz w:val="21"/>
                <w:szCs w:val="21"/>
                <w:highlight w:val="none"/>
                <w:lang w:val="en-US" w:eastAsia="zh-CN" w:bidi="ar-SA"/>
              </w:rPr>
              <w:t>正本</w:t>
            </w:r>
            <w:r>
              <w:rPr>
                <w:rFonts w:hint="eastAsia" w:ascii="宋体" w:hAnsi="宋体" w:eastAsia="宋体" w:cs="宋体"/>
                <w:color w:val="auto"/>
                <w:sz w:val="21"/>
                <w:szCs w:val="21"/>
                <w:highlight w:val="none"/>
                <w:lang w:val="en-US" w:eastAsia="zh-CN" w:bidi="ar-SA"/>
              </w:rPr>
              <w:t>彩色扫描形成</w:t>
            </w:r>
            <w:r>
              <w:rPr>
                <w:rFonts w:hint="eastAsia" w:ascii="Calibri" w:hAnsi="宋体" w:eastAsia="宋体" w:cs="宋体"/>
                <w:color w:val="auto"/>
                <w:sz w:val="21"/>
                <w:szCs w:val="21"/>
                <w:highlight w:val="none"/>
                <w:lang w:val="en-US" w:eastAsia="zh-CN" w:bidi="ar-SA"/>
              </w:rPr>
              <w:t>PDF格式的</w:t>
            </w:r>
            <w:r>
              <w:rPr>
                <w:rFonts w:hint="eastAsia" w:ascii="宋体" w:hAnsi="宋体" w:eastAsia="宋体" w:cs="宋体"/>
                <w:color w:val="auto"/>
                <w:sz w:val="21"/>
                <w:szCs w:val="21"/>
                <w:highlight w:val="none"/>
                <w:lang w:val="en-US" w:eastAsia="zh-CN" w:bidi="ar-SA"/>
              </w:rPr>
              <w:t>电子文档。将PDF电子文档</w:t>
            </w:r>
            <w:r>
              <w:rPr>
                <w:rFonts w:hint="eastAsia" w:ascii="Calibri" w:hAnsi="宋体" w:eastAsia="宋体" w:cs="宋体"/>
                <w:color w:val="auto"/>
                <w:sz w:val="21"/>
                <w:szCs w:val="21"/>
                <w:highlight w:val="none"/>
                <w:lang w:val="en-US" w:eastAsia="zh-CN" w:bidi="ar-SA"/>
              </w:rPr>
              <w:t>以及</w:t>
            </w:r>
            <w:r>
              <w:rPr>
                <w:rFonts w:hint="eastAsia" w:ascii="宋体" w:hAnsi="宋体" w:eastAsia="宋体" w:cs="宋体"/>
                <w:color w:val="auto"/>
                <w:sz w:val="21"/>
                <w:szCs w:val="21"/>
                <w:highlight w:val="none"/>
                <w:lang w:val="en-US" w:eastAsia="zh-CN" w:bidi="ar-SA"/>
              </w:rPr>
              <w:t>可编辑word或excel文档刻录成光盘或者U盘</w:t>
            </w:r>
            <w:r>
              <w:rPr>
                <w:rFonts w:hint="eastAsia" w:ascii="宋体" w:hAnsi="宋体" w:eastAsia="宋体" w:cs="宋体"/>
                <w:b w:val="0"/>
                <w:bCs w:val="0"/>
                <w:color w:val="auto"/>
                <w:sz w:val="21"/>
                <w:szCs w:val="21"/>
                <w:highlight w:val="none"/>
                <w:lang w:val="en-US" w:eastAsia="zh-CN" w:bidi="ar-SA"/>
              </w:rPr>
              <w:t>存贮。</w:t>
            </w:r>
            <w:r>
              <w:rPr>
                <w:rFonts w:hint="eastAsia" w:ascii="Calibri" w:hAnsi="宋体" w:eastAsia="宋体" w:cs="宋体"/>
                <w:b w:val="0"/>
                <w:bCs w:val="0"/>
                <w:color w:val="auto"/>
                <w:sz w:val="22"/>
                <w:szCs w:val="22"/>
                <w:highlight w:val="none"/>
                <w:lang w:val="en-US" w:eastAsia="zh-CN" w:bidi="ar-SA"/>
              </w:rPr>
              <w:t>若未按上述要求提供各类电子文档或提供的电子文档与投标文件正本不一致，由此产生的投标风险由投标人自行承担。</w:t>
            </w:r>
            <w:r>
              <w:rPr>
                <w:rFonts w:hint="eastAsia" w:ascii="宋体" w:hAnsi="宋体" w:eastAsia="宋体" w:cs="宋体"/>
                <w:b w:val="0"/>
                <w:bCs w:val="0"/>
                <w:color w:val="auto"/>
                <w:sz w:val="21"/>
                <w:szCs w:val="21"/>
                <w:highlight w:val="none"/>
                <w:lang w:val="en-US" w:eastAsia="zh-CN" w:bidi="ar-SA"/>
              </w:rPr>
              <w:t>光盘或U盘重命</w:t>
            </w:r>
            <w:r>
              <w:rPr>
                <w:rFonts w:hint="eastAsia" w:ascii="宋体" w:hAnsi="宋体" w:eastAsia="宋体" w:cs="宋体"/>
                <w:color w:val="auto"/>
                <w:sz w:val="21"/>
                <w:szCs w:val="21"/>
                <w:highlight w:val="none"/>
                <w:lang w:val="en-US" w:eastAsia="zh-CN" w:bidi="ar-SA"/>
              </w:rPr>
              <w:t>名为投标人名称与投标文件密封在同一包装提交，提交的光盘或U盘于投标截止时间后不予退还）</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□（3）若为分包组项目，各包组应分别准备以上内容。</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注：评审时以纸质投标文件为准。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提交投标文件截止时间、开标时间及地点详见招标文件第一部分《招标公告》。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开标、评标、定标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本项目的评标由依法组建的评标委员会负责，其成员由采购人代表等方面的专家组成。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p>
        </w:tc>
        <w:tc>
          <w:tcPr>
            <w:tcW w:w="8711" w:type="dxa"/>
            <w:noWrap w:val="0"/>
            <w:vAlign w:val="center"/>
          </w:tcPr>
          <w:p>
            <w:pPr>
              <w:keepNext w:val="0"/>
              <w:keepLines/>
              <w:pageBreakBefore w:val="0"/>
              <w:widowControl/>
              <w:tabs>
                <w:tab w:val="left" w:pos="-30"/>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在投标文件初审过程中，如发现下列情况之一的，其投标将被视为未实质性响应招标文件而作无效投标处理：</w:t>
            </w:r>
          </w:p>
          <w:p>
            <w:pPr>
              <w:keepNext w:val="0"/>
              <w:keepLines/>
              <w:pageBreakBefore w:val="0"/>
              <w:widowControl/>
              <w:tabs>
                <w:tab w:val="left" w:pos="872"/>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（1）投标文件未按招标文件要求签署、盖章的</w:t>
            </w:r>
            <w:r>
              <w:rPr>
                <w:rFonts w:hint="eastAsia" w:ascii="宋体" w:hAnsi="宋体" w:eastAsia="宋体" w:cs="宋体"/>
                <w:b/>
                <w:bCs/>
                <w:color w:val="auto"/>
                <w:sz w:val="21"/>
                <w:szCs w:val="21"/>
                <w:highlight w:val="none"/>
                <w:lang w:val="en-US" w:bidi="ar-SA"/>
              </w:rPr>
              <w:t>（不接受电子公章、电子签名或者电子签章)</w:t>
            </w:r>
            <w:r>
              <w:rPr>
                <w:rFonts w:hint="eastAsia" w:ascii="宋体" w:hAnsi="宋体" w:eastAsia="宋体" w:cs="宋体"/>
                <w:color w:val="auto"/>
                <w:sz w:val="21"/>
                <w:szCs w:val="21"/>
                <w:highlight w:val="none"/>
                <w:lang w:val="en-US" w:bidi="ar-SA"/>
              </w:rPr>
              <w:t>；</w:t>
            </w:r>
          </w:p>
          <w:p>
            <w:pPr>
              <w:keepNext w:val="0"/>
              <w:keepLines/>
              <w:pageBreakBefore w:val="0"/>
              <w:widowControl/>
              <w:tabs>
                <w:tab w:val="left" w:pos="872"/>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（2）不具备招标文件中规定的资格要求的；</w:t>
            </w:r>
          </w:p>
          <w:p>
            <w:pPr>
              <w:keepNext w:val="0"/>
              <w:keepLines/>
              <w:pageBreakBefore w:val="0"/>
              <w:widowControl/>
              <w:tabs>
                <w:tab w:val="left" w:pos="872"/>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（3）报价高于招标文件中规定的预算金额的；</w:t>
            </w:r>
          </w:p>
          <w:p>
            <w:pPr>
              <w:keepNext w:val="0"/>
              <w:keepLines/>
              <w:pageBreakBefore w:val="0"/>
              <w:widowControl/>
              <w:tabs>
                <w:tab w:val="left" w:pos="872"/>
              </w:tabs>
              <w:kinsoku/>
              <w:wordWrap/>
              <w:overflowPunct/>
              <w:topLinePunct w:val="0"/>
              <w:autoSpaceDE/>
              <w:autoSpaceDN/>
              <w:bidi w:val="0"/>
              <w:adjustRightInd w:val="0"/>
              <w:snapToGrid w:val="0"/>
              <w:spacing w:before="0" w:after="0" w:line="360"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（4）投标文件含有采购人不能接受的附加条件的；</w:t>
            </w:r>
          </w:p>
          <w:p>
            <w:pPr>
              <w:keepNext w:val="0"/>
              <w:keepLines/>
              <w:pageBreakBefore w:val="0"/>
              <w:widowControl/>
              <w:tabs>
                <w:tab w:val="left" w:pos="872"/>
              </w:tabs>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w:t>
            </w:r>
          </w:p>
        </w:tc>
        <w:tc>
          <w:tcPr>
            <w:tcW w:w="8711" w:type="dxa"/>
            <w:noWrap w:val="0"/>
            <w:vAlign w:val="center"/>
          </w:tcPr>
          <w:p>
            <w:pPr>
              <w:keepNext w:val="0"/>
              <w:keepLines/>
              <w:pageBreakBefore w:val="0"/>
              <w:widowControl/>
              <w:tabs>
                <w:tab w:val="left" w:pos="753"/>
              </w:tabs>
              <w:kinsoku/>
              <w:wordWrap/>
              <w:overflowPunct/>
              <w:topLinePunct w:val="0"/>
              <w:autoSpaceDE/>
              <w:autoSpaceDN/>
              <w:bidi w:val="0"/>
              <w:adjustRightInd w:val="0"/>
              <w:snapToGrid w:val="0"/>
              <w:spacing w:before="120" w:beforeLines="50" w:after="0" w:line="336" w:lineRule="auto"/>
              <w:ind w:left="0" w:right="0"/>
              <w:jc w:val="both"/>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bCs/>
                <w:color w:val="auto"/>
                <w:kern w:val="2"/>
                <w:sz w:val="21"/>
                <w:szCs w:val="21"/>
                <w:highlight w:val="none"/>
                <w:lang w:val="en-US" w:bidi="ar-SA"/>
              </w:rPr>
              <w:t>本项目采用综合评分法来确定中标候选人，首先进行资格审查和符合性审查，对通过资格审查和符合性审查的投标人进行详细评审，其操作程序为：按照商务评分细则、技术评分细则、投标报价评分细则（具体评分细则详见第四部分）进行评分。</w:t>
            </w:r>
          </w:p>
          <w:p>
            <w:pPr>
              <w:keepNext w:val="0"/>
              <w:pageBreakBefore w:val="0"/>
              <w:widowControl w:val="0"/>
              <w:kinsoku/>
              <w:wordWrap/>
              <w:overflowPunct/>
              <w:topLinePunct w:val="0"/>
              <w:autoSpaceDE/>
              <w:autoSpaceDN/>
              <w:bidi w:val="0"/>
              <w:spacing w:before="0" w:after="0" w:line="336" w:lineRule="auto"/>
              <w:ind w:left="0" w:right="0"/>
              <w:jc w:val="both"/>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bCs/>
                <w:color w:val="auto"/>
                <w:kern w:val="2"/>
                <w:sz w:val="21"/>
                <w:szCs w:val="21"/>
                <w:highlight w:val="none"/>
                <w:lang w:val="en-US" w:bidi="ar-SA"/>
              </w:rPr>
              <w:t>特别说明：</w:t>
            </w:r>
          </w:p>
          <w:p>
            <w:pPr>
              <w:keepNext w:val="0"/>
              <w:pageBreakBefore w:val="0"/>
              <w:widowControl w:val="0"/>
              <w:kinsoku/>
              <w:wordWrap/>
              <w:overflowPunct/>
              <w:topLinePunct w:val="0"/>
              <w:autoSpaceDE/>
              <w:autoSpaceDN/>
              <w:bidi w:val="0"/>
              <w:spacing w:before="0" w:after="0" w:line="336" w:lineRule="auto"/>
              <w:ind w:left="0" w:right="0"/>
              <w:jc w:val="both"/>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bCs/>
                <w:color w:val="auto"/>
                <w:kern w:val="2"/>
                <w:sz w:val="21"/>
                <w:szCs w:val="21"/>
                <w:highlight w:val="none"/>
                <w:lang w:val="en-US" w:bidi="ar-SA"/>
              </w:rPr>
              <w:t>（1）由评委独立地根据各项指标的评分标准，结合每个投标人的实际情况，分别就各项指标对每个投标人独立打分，需要统一打分的客观评分，由主任评委组织各评委统一评审。</w:t>
            </w:r>
          </w:p>
          <w:p>
            <w:pPr>
              <w:keepNext w:val="0"/>
              <w:pageBreakBefore w:val="0"/>
              <w:widowControl/>
              <w:kinsoku/>
              <w:wordWrap/>
              <w:overflowPunct/>
              <w:topLinePunct w:val="0"/>
              <w:autoSpaceDE/>
              <w:autoSpaceDN/>
              <w:bidi w:val="0"/>
              <w:spacing w:before="0" w:after="0" w:line="336" w:lineRule="auto"/>
              <w:ind w:left="0" w:right="0"/>
              <w:jc w:val="left"/>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bCs/>
                <w:color w:val="auto"/>
                <w:kern w:val="2"/>
                <w:sz w:val="21"/>
                <w:szCs w:val="21"/>
                <w:highlight w:val="none"/>
                <w:lang w:val="en-US" w:bidi="ar-SA"/>
              </w:rPr>
              <w:t>（2）</w:t>
            </w:r>
            <w:r>
              <w:rPr>
                <w:rFonts w:hint="eastAsia" w:ascii="Calibri" w:hAnsi="Calibri" w:eastAsia="宋体" w:cs="Times New Roman"/>
                <w:color w:val="auto"/>
                <w:sz w:val="21"/>
                <w:szCs w:val="20"/>
                <w:highlight w:val="none"/>
                <w:lang w:val="en-US" w:bidi="ar-SA"/>
              </w:rPr>
              <w:t>投标报价得分采用低价优先法计算，即满足采购文件要求且投标价格最低的投标报价为评标基准价，其投标报价得分为满分。其他投标人的投标报价得分统一按照下列公式计算：投标报价得分=（投标报价/评标基准价）×报价权重×100。</w:t>
            </w:r>
          </w:p>
          <w:p>
            <w:pPr>
              <w:keepNext w:val="0"/>
              <w:pageBreakBefore w:val="0"/>
              <w:widowControl w:val="0"/>
              <w:kinsoku/>
              <w:wordWrap/>
              <w:overflowPunct/>
              <w:topLinePunct w:val="0"/>
              <w:autoSpaceDE/>
              <w:autoSpaceDN/>
              <w:bidi w:val="0"/>
              <w:spacing w:before="0" w:after="0" w:line="360" w:lineRule="auto"/>
              <w:ind w:left="0" w:right="0"/>
              <w:jc w:val="both"/>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bCs/>
                <w:color w:val="auto"/>
                <w:kern w:val="2"/>
                <w:sz w:val="21"/>
                <w:szCs w:val="21"/>
                <w:highlight w:val="none"/>
                <w:lang w:val="en-US" w:bidi="ar-SA"/>
              </w:rPr>
              <w:t>（3）投标最终得分=商务标得分+技术标得分+投标报价得分。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9" w:hRule="atLeast"/>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评标委员会将推荐最终得分排名前3名的投标人为本项目的中标候选人，计算最终得分时将四舍五入后，小数点后保留两位有效数；最终得分相同的，将依次按投标报价得分、技术指标得分进行排序，并确定排序在前的投标人为中标候选人或者采取随机抽取方式确定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2" w:hRule="atLeast"/>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本项目按以下方式确定中标人（标注“■”为确定方式）：</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□由采购人授权评标委员会依照中标候选人排序依法确定</w:t>
            </w:r>
            <w:r>
              <w:rPr>
                <w:rFonts w:hint="eastAsia"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名中标人</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■由采购人依照中标候选人排序依法确定</w:t>
            </w:r>
            <w:r>
              <w:rPr>
                <w:rFonts w:hint="eastAsia"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名中标人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代理服务费：无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728" w:type="dxa"/>
            <w:vMerge w:val="restart"/>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13</w:t>
            </w: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vMerge w:val="continue"/>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本项目相关公告在以下媒体发布（标注“■”为发布媒体）：</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■香洲区第二人民医院</w:t>
            </w:r>
            <w:r>
              <w:rPr>
                <w:rFonts w:hint="eastAsia" w:cs="宋体"/>
                <w:color w:val="auto"/>
                <w:sz w:val="21"/>
                <w:szCs w:val="21"/>
                <w:highlight w:val="none"/>
                <w:lang w:val="en-US" w:eastAsia="zh-CN" w:bidi="ar-SA"/>
              </w:rPr>
              <w:t>官网</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相关公告在媒体上公布之日即视为有效送达，不再另行通知。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vMerge w:val="continue"/>
            <w:noWrap w:val="0"/>
            <w:vAlign w:val="center"/>
          </w:tcPr>
          <w:p>
            <w:pPr>
              <w:keepNext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p>
        </w:tc>
        <w:tc>
          <w:tcPr>
            <w:tcW w:w="8711" w:type="dxa"/>
            <w:noWrap w:val="0"/>
            <w:vAlign w:val="center"/>
          </w:tcPr>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如投标人认为本招标文件中存在“不合理的条件对投标人实行差别待遇或者歧视待遇”，或者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将不再受理此后对招标文件的任何异议。</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接收质疑函的方式：书面形式。</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联系人：刘先生    联系电话：0756-8288723</w:t>
            </w:r>
          </w:p>
          <w:p>
            <w:pPr>
              <w:keepNext w:val="0"/>
              <w:pageBreakBefore w:val="0"/>
              <w:widowControl w:val="0"/>
              <w:kinsoku/>
              <w:wordWrap/>
              <w:overflowPunct/>
              <w:topLinePunct w:val="0"/>
              <w:autoSpaceDE/>
              <w:autoSpaceDN/>
              <w:bidi w:val="0"/>
              <w:spacing w:line="360" w:lineRule="auto"/>
              <w:ind w:firstLine="0" w:firstLineChars="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通讯地址：珠海市香洲区第二人民医院保障楼207室</w:t>
            </w:r>
          </w:p>
        </w:tc>
      </w:tr>
    </w:tbl>
    <w:p>
      <w:pPr>
        <w:spacing w:line="360" w:lineRule="auto"/>
        <w:jc w:val="center"/>
        <w:rPr>
          <w:rFonts w:hint="eastAsia" w:cs="宋体"/>
          <w:b/>
          <w:kern w:val="28"/>
          <w:sz w:val="32"/>
          <w:szCs w:val="32"/>
          <w:lang w:val="en-US" w:eastAsia="zh-CN"/>
        </w:rPr>
      </w:pPr>
    </w:p>
    <w:p>
      <w:pPr>
        <w:rPr>
          <w:rFonts w:hint="eastAsia"/>
          <w:lang w:val="en-US" w:eastAsia="zh-CN"/>
        </w:rPr>
      </w:pPr>
    </w:p>
    <w:p>
      <w:pPr>
        <w:spacing w:line="360" w:lineRule="auto"/>
        <w:jc w:val="center"/>
        <w:rPr>
          <w:rFonts w:hint="eastAsia" w:cs="宋体"/>
          <w:b/>
          <w:kern w:val="28"/>
          <w:sz w:val="32"/>
          <w:szCs w:val="32"/>
          <w:lang w:val="en-US" w:eastAsia="zh-CN"/>
        </w:rPr>
        <w:sectPr>
          <w:pgSz w:w="11906" w:h="16838"/>
          <w:pgMar w:top="1434" w:right="1474" w:bottom="1434"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after="157" w:afterLines="50" w:line="360" w:lineRule="auto"/>
        <w:jc w:val="center"/>
        <w:textAlignment w:val="auto"/>
        <w:rPr>
          <w:rFonts w:hint="eastAsia" w:ascii="宋体" w:hAnsi="宋体" w:cs="宋体"/>
          <w:b/>
          <w:kern w:val="28"/>
          <w:sz w:val="32"/>
          <w:szCs w:val="32"/>
          <w:lang w:val="en-US" w:eastAsia="zh-CN"/>
        </w:rPr>
      </w:pPr>
      <w:r>
        <w:rPr>
          <w:rFonts w:hint="eastAsia" w:cs="宋体"/>
          <w:b/>
          <w:kern w:val="28"/>
          <w:sz w:val="32"/>
          <w:szCs w:val="32"/>
          <w:lang w:val="en-US" w:eastAsia="zh-CN"/>
        </w:rPr>
        <w:t xml:space="preserve">第四部分 </w:t>
      </w:r>
      <w:r>
        <w:rPr>
          <w:rFonts w:hint="eastAsia" w:ascii="宋体" w:hAnsi="宋体" w:cs="宋体"/>
          <w:b/>
          <w:kern w:val="28"/>
          <w:sz w:val="32"/>
          <w:szCs w:val="32"/>
          <w:lang w:val="en-US" w:eastAsia="zh-CN"/>
        </w:rPr>
        <w:t>评标方法与标准</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1.本项目采用综合评分法。满足采购文件全部实质性要求，且按照评审因素的量化指标评审得分最高的供应商为成交候选人。</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评标小组先对所有投标人进行资格性审查和符合性审查。投标人必须严格按照《资格性、符合性审查表》的评审内容的要求如实提供证明材料并应加盖投标人公章，若投标人不满足《资格性、符合性审查表》中任何情形之一的，则其投标无效。</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3.评标小组对通过《资格性、符合性审查表》的投标文件进行详细评审，评标小组对每一投标文件进行详细技术、商务、价格评审，评出其技术商务评分（四舍五入后，小数点后保留两位有效数）。然后，评出价格得分，将技术商务得分和价格得分相加得出综合得分，并按综合得分从高到低依次排名，出现并列得分时，价格低者优先；得分相同且价格相同的，技术得分高者优先。</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4.资格性、符合性审查标准：详见附表1；</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5.技术商务评分标准：详见附表2；</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价格评审标准（详见附表3）：满足招标文件要求且评标价格最低的为评标基准价，其价格分为满分。其他投标人的价格分统一按照下列公式计算：投标报价得分（精确到小数点后2位）=(评标基准价／评标价格)×权重分配</w:t>
      </w:r>
    </w:p>
    <w:p>
      <w:pPr>
        <w:spacing w:line="240" w:lineRule="auto"/>
        <w:ind w:firstLine="440" w:firstLineChars="20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权重分配</w:t>
      </w:r>
    </w:p>
    <w:tbl>
      <w:tblPr>
        <w:tblStyle w:val="16"/>
        <w:tblW w:w="76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81"/>
        <w:gridCol w:w="3118"/>
        <w:gridCol w:w="200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2481" w:type="dxa"/>
            <w:tcBorders>
              <w:top w:val="double" w:color="auto" w:sz="4" w:space="0"/>
              <w:bottom w:val="single" w:color="auto" w:sz="6" w:space="0"/>
            </w:tcBorders>
            <w:shd w:val="clear" w:color="auto" w:fill="D9D9D9"/>
            <w:vAlign w:val="center"/>
          </w:tcPr>
          <w:p>
            <w:pPr>
              <w:autoSpaceDE/>
              <w:autoSpaceDN/>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评分项目</w:t>
            </w:r>
          </w:p>
        </w:tc>
        <w:tc>
          <w:tcPr>
            <w:tcW w:w="3118" w:type="dxa"/>
            <w:tcBorders>
              <w:top w:val="double" w:color="auto" w:sz="4" w:space="0"/>
              <w:bottom w:val="single" w:color="auto" w:sz="6" w:space="0"/>
            </w:tcBorders>
            <w:shd w:val="clear" w:color="auto" w:fill="D9D9D9"/>
            <w:vAlign w:val="center"/>
          </w:tcPr>
          <w:p>
            <w:pPr>
              <w:autoSpaceDE/>
              <w:autoSpaceDN/>
              <w:snapToGrid w:val="0"/>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技术商务部分</w:t>
            </w:r>
          </w:p>
        </w:tc>
        <w:tc>
          <w:tcPr>
            <w:tcW w:w="2006" w:type="dxa"/>
            <w:tcBorders>
              <w:top w:val="double" w:color="auto" w:sz="4" w:space="0"/>
              <w:bottom w:val="single" w:color="auto" w:sz="6" w:space="0"/>
            </w:tcBorders>
            <w:shd w:val="clear" w:color="auto" w:fill="D9D9D9"/>
            <w:vAlign w:val="center"/>
          </w:tcPr>
          <w:p>
            <w:pPr>
              <w:autoSpaceDE/>
              <w:autoSpaceDN/>
              <w:snapToGrid w:val="0"/>
              <w:spacing w:line="24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价格部分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481" w:type="dxa"/>
            <w:tcBorders>
              <w:top w:val="single" w:color="auto" w:sz="6" w:space="0"/>
            </w:tcBorders>
            <w:vAlign w:val="center"/>
          </w:tcPr>
          <w:p>
            <w:pPr>
              <w:autoSpaceDE/>
              <w:autoSpaceDN/>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    值</w:t>
            </w:r>
          </w:p>
        </w:tc>
        <w:tc>
          <w:tcPr>
            <w:tcW w:w="3118" w:type="dxa"/>
            <w:tcBorders>
              <w:top w:val="single" w:color="auto" w:sz="6" w:space="0"/>
            </w:tcBorders>
            <w:vAlign w:val="center"/>
          </w:tcPr>
          <w:p>
            <w:pPr>
              <w:autoSpaceDE/>
              <w:autoSpaceDN/>
              <w:snapToGrid w:val="0"/>
              <w:spacing w:line="240" w:lineRule="auto"/>
              <w:jc w:val="center"/>
              <w:rPr>
                <w:rFonts w:hint="eastAsia" w:ascii="宋体" w:hAnsi="宋体" w:eastAsia="宋体" w:cs="宋体"/>
                <w:b/>
                <w:color w:val="auto"/>
                <w:sz w:val="22"/>
                <w:szCs w:val="22"/>
                <w:highlight w:val="none"/>
              </w:rPr>
            </w:pPr>
            <w:r>
              <w:rPr>
                <w:rFonts w:hint="eastAsia" w:cs="宋体"/>
                <w:b/>
                <w:color w:val="auto"/>
                <w:sz w:val="22"/>
                <w:szCs w:val="22"/>
                <w:highlight w:val="none"/>
                <w:lang w:val="en-US" w:eastAsia="zh-CN"/>
              </w:rPr>
              <w:t>60</w:t>
            </w:r>
            <w:r>
              <w:rPr>
                <w:rFonts w:hint="eastAsia" w:ascii="宋体" w:hAnsi="宋体" w:eastAsia="宋体" w:cs="宋体"/>
                <w:b/>
                <w:color w:val="auto"/>
                <w:sz w:val="22"/>
                <w:szCs w:val="22"/>
                <w:highlight w:val="none"/>
              </w:rPr>
              <w:t>分</w:t>
            </w:r>
          </w:p>
        </w:tc>
        <w:tc>
          <w:tcPr>
            <w:tcW w:w="2006" w:type="dxa"/>
            <w:tcBorders>
              <w:top w:val="single" w:color="auto" w:sz="6" w:space="0"/>
            </w:tcBorders>
            <w:vAlign w:val="center"/>
          </w:tcPr>
          <w:p>
            <w:pPr>
              <w:autoSpaceDE/>
              <w:autoSpaceDN/>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cs="宋体"/>
                <w:b/>
                <w:color w:val="auto"/>
                <w:sz w:val="22"/>
                <w:szCs w:val="22"/>
                <w:highlight w:val="none"/>
                <w:lang w:val="en-US" w:eastAsia="zh-CN"/>
              </w:rPr>
              <w:t>40</w:t>
            </w:r>
            <w:r>
              <w:rPr>
                <w:rFonts w:hint="eastAsia" w:ascii="宋体" w:hAnsi="宋体" w:eastAsia="宋体" w:cs="宋体"/>
                <w:b/>
                <w:color w:val="auto"/>
                <w:sz w:val="22"/>
                <w:szCs w:val="22"/>
                <w:highlight w:val="none"/>
              </w:rPr>
              <w:t>分</w:t>
            </w:r>
          </w:p>
        </w:tc>
      </w:tr>
    </w:tbl>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评标小组认为投标人的报价明显低于其他通过资格性、符合性审查投标人的报价，有可能影响产品质量或者不能诚信履约的，应当要求其在评标现场合理的时间内提供书面说明和相关证明材料；投标人不能证明其报价合理性的，评标小组应当将其作为无效投标处理。</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汇总、排序。评标小组根据综合评分情况按照最终得分由高到低推荐3名成交候选人。评审总得分相同的，按下列顺序比较确定：（1）最后报价（由低到高）。（2）最后报价相同的，按技术得分由高到低顺序排列。如最后报价和技术得分都相同的，名次由评标小组抽签确定。</w:t>
      </w:r>
    </w:p>
    <w:p>
      <w:pPr>
        <w:keepNext w:val="0"/>
        <w:keepLines w:val="0"/>
        <w:pageBreakBefore w:val="0"/>
        <w:widowControl w:val="0"/>
        <w:kinsoku/>
        <w:wordWrap/>
        <w:overflowPunct/>
        <w:topLinePunct w:val="0"/>
        <w:autoSpaceDE w:val="0"/>
        <w:autoSpaceDN w:val="0"/>
        <w:bidi w:val="0"/>
        <w:adjustRightInd/>
        <w:snapToGrid/>
        <w:spacing w:line="240" w:lineRule="auto"/>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二</w:t>
      </w:r>
      <w:r>
        <w:rPr>
          <w:rFonts w:hint="eastAsia" w:ascii="宋体" w:hAnsi="宋体" w:eastAsia="宋体" w:cs="宋体"/>
          <w:b/>
          <w:bCs/>
          <w:sz w:val="22"/>
          <w:szCs w:val="22"/>
          <w:lang w:eastAsia="zh-CN"/>
        </w:rPr>
        <w:t>）</w:t>
      </w:r>
      <w:r>
        <w:rPr>
          <w:rFonts w:hint="eastAsia" w:ascii="宋体" w:hAnsi="宋体" w:eastAsia="宋体" w:cs="宋体"/>
          <w:b/>
          <w:bCs/>
          <w:sz w:val="22"/>
          <w:szCs w:val="22"/>
        </w:rPr>
        <w:t>成交供应商的确定、替补候选人的设定与使用</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1.评标小组依照</w:t>
      </w:r>
      <w:r>
        <w:rPr>
          <w:rFonts w:hint="eastAsia" w:ascii="宋体" w:hAnsi="宋体" w:eastAsia="宋体" w:cs="宋体"/>
          <w:sz w:val="22"/>
          <w:szCs w:val="22"/>
          <w:lang w:val="en-US" w:eastAsia="zh-CN"/>
        </w:rPr>
        <w:t>中标</w:t>
      </w:r>
      <w:r>
        <w:rPr>
          <w:rFonts w:hint="eastAsia" w:ascii="宋体" w:hAnsi="宋体" w:eastAsia="宋体" w:cs="宋体"/>
          <w:sz w:val="22"/>
          <w:szCs w:val="22"/>
        </w:rPr>
        <w:t>候选人排序依规确定1名成交供应商。</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2.中标人因不可抗力或者自身原因不能履行采购合同的，采购人可以与排位在中标人之后第一位的中标候选人签订采购合同（以此类推，但中标资格只顺延给中标候选人），或者重新组织采购确定中标人。</w:t>
      </w:r>
    </w:p>
    <w:p>
      <w:pPr>
        <w:keepNext w:val="0"/>
        <w:keepLines w:val="0"/>
        <w:pageBreakBefore w:val="0"/>
        <w:widowControl w:val="0"/>
        <w:kinsoku/>
        <w:wordWrap/>
        <w:overflowPunct/>
        <w:topLinePunct w:val="0"/>
        <w:autoSpaceDE w:val="0"/>
        <w:autoSpaceDN w:val="0"/>
        <w:bidi w:val="0"/>
        <w:adjustRightInd/>
        <w:snapToGrid/>
        <w:spacing w:line="240" w:lineRule="auto"/>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三</w:t>
      </w:r>
      <w:r>
        <w:rPr>
          <w:rFonts w:hint="eastAsia" w:ascii="宋体" w:hAnsi="宋体" w:eastAsia="宋体" w:cs="宋体"/>
          <w:b/>
          <w:bCs/>
          <w:sz w:val="22"/>
          <w:szCs w:val="22"/>
          <w:lang w:eastAsia="zh-CN"/>
        </w:rPr>
        <w:t>）</w:t>
      </w:r>
      <w:r>
        <w:rPr>
          <w:rFonts w:hint="eastAsia" w:ascii="宋体" w:hAnsi="宋体" w:eastAsia="宋体" w:cs="宋体"/>
          <w:b/>
          <w:bCs/>
          <w:sz w:val="22"/>
          <w:szCs w:val="22"/>
        </w:rPr>
        <w:t>中标签订合同</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1.成交结果公示</w:t>
      </w:r>
      <w:r>
        <w:rPr>
          <w:rFonts w:hint="eastAsia" w:ascii="宋体" w:hAnsi="宋体" w:eastAsia="宋体" w:cs="宋体"/>
          <w:sz w:val="22"/>
          <w:szCs w:val="22"/>
          <w:lang w:val="en-US" w:eastAsia="zh-CN"/>
        </w:rPr>
        <w:t>1</w:t>
      </w:r>
      <w:r>
        <w:rPr>
          <w:rFonts w:hint="eastAsia" w:ascii="宋体" w:hAnsi="宋体" w:eastAsia="宋体" w:cs="宋体"/>
          <w:sz w:val="22"/>
          <w:szCs w:val="22"/>
        </w:rPr>
        <w:t>个工作日，公示期内无投标人提出异议的自动确定排名第一的投标单位为中标人。</w:t>
      </w:r>
    </w:p>
    <w:p>
      <w:pPr>
        <w:keepNext w:val="0"/>
        <w:keepLines w:val="0"/>
        <w:pageBreakBefore w:val="0"/>
        <w:widowControl w:val="0"/>
        <w:kinsoku/>
        <w:wordWrap/>
        <w:overflowPunct/>
        <w:topLinePunct w:val="0"/>
        <w:autoSpaceDE w:val="0"/>
        <w:autoSpaceDN w:val="0"/>
        <w:bidi w:val="0"/>
        <w:adjustRightInd/>
        <w:snapToGrid/>
        <w:spacing w:line="240" w:lineRule="auto"/>
        <w:ind w:firstLine="440" w:firstLineChars="200"/>
        <w:textAlignment w:val="auto"/>
        <w:rPr>
          <w:rFonts w:hint="eastAsia" w:ascii="宋体" w:hAnsi="宋体" w:eastAsia="宋体" w:cs="宋体"/>
          <w:sz w:val="22"/>
          <w:szCs w:val="22"/>
        </w:rPr>
        <w:sectPr>
          <w:pgSz w:w="11906" w:h="16838"/>
          <w:pgMar w:top="1434" w:right="1474" w:bottom="1434" w:left="1474" w:header="851" w:footer="992" w:gutter="0"/>
          <w:pgNumType w:fmt="decimal"/>
          <w:cols w:space="425" w:num="1"/>
          <w:docGrid w:type="lines" w:linePitch="312" w:charSpace="0"/>
        </w:sectPr>
      </w:pPr>
      <w:r>
        <w:rPr>
          <w:rFonts w:hint="eastAsia" w:ascii="宋体" w:hAnsi="宋体" w:eastAsia="宋体" w:cs="宋体"/>
          <w:sz w:val="22"/>
          <w:szCs w:val="22"/>
        </w:rPr>
        <w:t>2.中标公示结束后30日内签订采购合同，中标单位拒绝签订采购合同的，三年内不得参加本单位所有的采购项目。</w:t>
      </w:r>
    </w:p>
    <w:p>
      <w:pPr>
        <w:widowControl w:val="0"/>
        <w:spacing w:line="360" w:lineRule="auto"/>
        <w:ind w:firstLine="0" w:firstLineChars="0"/>
        <w:jc w:val="left"/>
        <w:rPr>
          <w:rFonts w:ascii="Calibri" w:hAnsi="Calibri" w:eastAsia="宋体" w:cs="Times New Roman"/>
          <w:b/>
          <w:color w:val="auto"/>
          <w:sz w:val="24"/>
          <w:highlight w:val="none"/>
          <w:lang w:val="en-US" w:eastAsia="zh-CN" w:bidi="ar-SA"/>
        </w:rPr>
      </w:pPr>
      <w:r>
        <w:rPr>
          <w:rFonts w:hint="eastAsia" w:ascii="Calibri" w:hAnsi="Calibri" w:eastAsia="宋体" w:cs="Times New Roman"/>
          <w:b/>
          <w:color w:val="auto"/>
          <w:sz w:val="24"/>
          <w:highlight w:val="none"/>
          <w:lang w:val="en-US" w:eastAsia="zh-CN" w:bidi="ar-SA"/>
        </w:rPr>
        <w:t>附表1：资格性、符合性审查表</w:t>
      </w:r>
    </w:p>
    <w:p>
      <w:pPr>
        <w:widowControl/>
        <w:autoSpaceDE/>
        <w:autoSpaceDN/>
        <w:spacing w:before="0" w:after="0" w:line="300" w:lineRule="exact"/>
        <w:ind w:left="0" w:right="0"/>
        <w:jc w:val="left"/>
        <w:rPr>
          <w:rFonts w:hint="eastAsia" w:ascii="宋体" w:hAnsi="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项目名称：</w:t>
      </w:r>
      <w:r>
        <w:rPr>
          <w:rFonts w:hint="eastAsia" w:ascii="宋体" w:hAnsi="宋体" w:cs="宋体"/>
          <w:color w:val="auto"/>
          <w:sz w:val="21"/>
          <w:szCs w:val="20"/>
          <w:highlight w:val="none"/>
          <w:lang w:val="en-US" w:eastAsia="zh-CN" w:bidi="ar-SA"/>
        </w:rPr>
        <w:t>珠海市香洲区第二人民医院</w:t>
      </w:r>
      <w:r>
        <w:rPr>
          <w:rFonts w:hint="eastAsia" w:cs="宋体"/>
          <w:color w:val="auto"/>
          <w:sz w:val="21"/>
          <w:szCs w:val="20"/>
          <w:highlight w:val="none"/>
          <w:lang w:val="en-US" w:eastAsia="zh-CN" w:bidi="ar-SA"/>
        </w:rPr>
        <w:t>车辆定点维修服务年度供应商</w:t>
      </w:r>
      <w:r>
        <w:rPr>
          <w:rFonts w:hint="eastAsia" w:ascii="宋体" w:hAnsi="宋体" w:cs="宋体"/>
          <w:color w:val="auto"/>
          <w:sz w:val="21"/>
          <w:szCs w:val="20"/>
          <w:highlight w:val="none"/>
          <w:lang w:val="en-US" w:eastAsia="zh-CN" w:bidi="ar-SA"/>
        </w:rPr>
        <w:t>采购项目</w:t>
      </w:r>
    </w:p>
    <w:p>
      <w:pPr>
        <w:widowControl/>
        <w:autoSpaceDE/>
        <w:autoSpaceDN/>
        <w:spacing w:before="0" w:after="0" w:line="300" w:lineRule="exact"/>
        <w:ind w:left="0" w:right="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采购编号：HQCG202</w:t>
      </w:r>
      <w:r>
        <w:rPr>
          <w:rFonts w:hint="eastAsia" w:cs="宋体"/>
          <w:color w:val="auto"/>
          <w:sz w:val="21"/>
          <w:szCs w:val="20"/>
          <w:highlight w:val="none"/>
          <w:lang w:val="en-US" w:eastAsia="zh-CN" w:bidi="ar-SA"/>
        </w:rPr>
        <w:t>5011</w:t>
      </w:r>
    </w:p>
    <w:tbl>
      <w:tblPr>
        <w:tblStyle w:val="16"/>
        <w:tblW w:w="927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619"/>
        <w:gridCol w:w="6133"/>
        <w:gridCol w:w="908"/>
        <w:gridCol w:w="939"/>
        <w:gridCol w:w="6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53"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序号</w:t>
            </w:r>
          </w:p>
        </w:tc>
        <w:tc>
          <w:tcPr>
            <w:tcW w:w="6133" w:type="dxa"/>
            <w:tcBorders>
              <w:left w:val="single" w:color="auto" w:sz="4" w:space="0"/>
            </w:tcBorders>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审查内容</w:t>
            </w:r>
          </w:p>
        </w:tc>
        <w:tc>
          <w:tcPr>
            <w:tcW w:w="908" w:type="dxa"/>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投标人1</w:t>
            </w:r>
          </w:p>
        </w:tc>
        <w:tc>
          <w:tcPr>
            <w:tcW w:w="939" w:type="dxa"/>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投标人2</w:t>
            </w:r>
          </w:p>
        </w:tc>
        <w:tc>
          <w:tcPr>
            <w:tcW w:w="679" w:type="dxa"/>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682"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bookmarkStart w:id="6" w:name="OLE_LINK1" w:colFirst="0" w:colLast="1"/>
            <w:r>
              <w:rPr>
                <w:rFonts w:hint="eastAsia" w:ascii="宋体" w:hAnsi="宋体" w:cs="宋体"/>
                <w:color w:val="auto"/>
                <w:sz w:val="20"/>
                <w:szCs w:val="20"/>
                <w:highlight w:val="none"/>
                <w:lang w:val="en-US" w:bidi="ar-SA"/>
              </w:rPr>
              <w:t>1</w:t>
            </w:r>
          </w:p>
        </w:tc>
        <w:tc>
          <w:tcPr>
            <w:tcW w:w="613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符合《中华人民共和国政府采购法》第二十二条规定的条件。</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（2）有依法缴纳税收和社会保障资金的良好记录：提供《投标人资格声明函》。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（3）具有良好的商业信誉和健全的财务会计制度：提供《投标人资格声明函》。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（4）履行合同所必需的设备和专业技术能力：提供《投标人资格声明函》。</w:t>
            </w:r>
          </w:p>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（5）参加采购活动前3年内，在经营活动中没有重大违法记录：提供《投标人资格声明函》。</w:t>
            </w:r>
          </w:p>
        </w:tc>
        <w:tc>
          <w:tcPr>
            <w:tcW w:w="90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9"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9"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448"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2</w:t>
            </w:r>
          </w:p>
        </w:tc>
        <w:tc>
          <w:tcPr>
            <w:tcW w:w="6133"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本项目专门面向中小企业采购，供应商应为中小微企业、监狱企业、残疾人福利性单位。（提供《中小企业声明函》或属于监狱企业的证明材料或《残疾人福利性单位声明函》）</w:t>
            </w:r>
          </w:p>
        </w:tc>
        <w:tc>
          <w:tcPr>
            <w:tcW w:w="90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9"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9"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009"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w:t>
            </w:r>
          </w:p>
        </w:tc>
        <w:tc>
          <w:tcPr>
            <w:tcW w:w="6133"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供应商未列入“信用中国”网站(www.creditchina.gov.cn)“记录失信被执行人或重大税收违法案件当事人名单或政府采购严重违法失信行为”的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90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9"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9"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61"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4</w:t>
            </w:r>
          </w:p>
        </w:tc>
        <w:tc>
          <w:tcPr>
            <w:tcW w:w="6133"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单位负责人为同一人或者存在直接控股、管理关系的不同供应商，不得同时参加本采购项目投标（响应）。为本项目提供整体设计、规范编制或者项目管理、监理、检测等服务的供应商，不得再参与本项目投标（响应）：提供《投标人资格声明函》。</w:t>
            </w:r>
          </w:p>
        </w:tc>
        <w:tc>
          <w:tcPr>
            <w:tcW w:w="90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9"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9"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448"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5</w:t>
            </w:r>
          </w:p>
        </w:tc>
        <w:tc>
          <w:tcPr>
            <w:tcW w:w="613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default" w:ascii="宋体" w:hAnsi="宋体" w:cs="宋体"/>
                <w:color w:val="auto"/>
                <w:sz w:val="20"/>
                <w:szCs w:val="20"/>
                <w:highlight w:val="none"/>
                <w:lang w:val="en-US" w:eastAsia="zh-CN" w:bidi="ar-SA"/>
              </w:rPr>
              <w:t>供应商须具有在交通运输主管部门办理的有效的机动车维修的经营备案（经营范围为二类或者二类以上机动车维修）。（投标文件中提供备案证明材料加盖投标人公章）</w:t>
            </w:r>
          </w:p>
        </w:tc>
        <w:tc>
          <w:tcPr>
            <w:tcW w:w="908" w:type="dxa"/>
            <w:tcMar>
              <w:top w:w="57" w:type="dxa"/>
              <w:left w:w="57" w:type="dxa"/>
              <w:bottom w:w="57" w:type="dxa"/>
              <w:right w:w="57" w:type="dxa"/>
            </w:tcMar>
            <w:vAlign w:val="center"/>
          </w:tcPr>
          <w:p>
            <w:pPr>
              <w:widowControl/>
              <w:autoSpaceDE/>
              <w:autoSpaceDN/>
              <w:spacing w:before="0" w:after="0" w:line="240" w:lineRule="exact"/>
              <w:ind w:left="0" w:right="0"/>
              <w:jc w:val="center"/>
              <w:rPr>
                <w:rFonts w:hint="eastAsia" w:ascii="宋体" w:hAnsi="宋体" w:eastAsia="宋体" w:cs="宋体"/>
                <w:color w:val="auto"/>
                <w:sz w:val="20"/>
                <w:szCs w:val="20"/>
                <w:highlight w:val="none"/>
                <w:lang w:val="en-US" w:eastAsia="zh-CN" w:bidi="ar-SA"/>
              </w:rPr>
            </w:pPr>
          </w:p>
        </w:tc>
        <w:tc>
          <w:tcPr>
            <w:tcW w:w="939" w:type="dxa"/>
            <w:vAlign w:val="center"/>
          </w:tcPr>
          <w:p>
            <w:pPr>
              <w:widowControl/>
              <w:autoSpaceDE/>
              <w:autoSpaceDN/>
              <w:spacing w:before="0" w:after="0" w:line="240" w:lineRule="exact"/>
              <w:ind w:left="0" w:right="0"/>
              <w:jc w:val="center"/>
              <w:rPr>
                <w:rFonts w:hint="eastAsia" w:ascii="宋体" w:hAnsi="宋体" w:eastAsia="宋体" w:cs="宋体"/>
                <w:color w:val="auto"/>
                <w:sz w:val="20"/>
                <w:szCs w:val="20"/>
                <w:highlight w:val="none"/>
                <w:lang w:val="en-US" w:eastAsia="zh-CN" w:bidi="ar-SA"/>
              </w:rPr>
            </w:pPr>
          </w:p>
        </w:tc>
        <w:tc>
          <w:tcPr>
            <w:tcW w:w="679" w:type="dxa"/>
            <w:tcMar>
              <w:top w:w="57" w:type="dxa"/>
              <w:left w:w="57" w:type="dxa"/>
              <w:bottom w:w="57" w:type="dxa"/>
              <w:right w:w="57" w:type="dxa"/>
            </w:tcMar>
            <w:vAlign w:val="center"/>
          </w:tcPr>
          <w:p>
            <w:pPr>
              <w:widowControl/>
              <w:autoSpaceDE/>
              <w:autoSpaceDN/>
              <w:spacing w:before="0" w:after="0" w:line="240" w:lineRule="exact"/>
              <w:ind w:left="0" w:right="0"/>
              <w:jc w:val="center"/>
              <w:rPr>
                <w:rFonts w:hint="eastAsia" w:ascii="宋体" w:hAnsi="宋体" w:eastAsia="宋体" w:cs="宋体"/>
                <w:color w:val="auto"/>
                <w:sz w:val="20"/>
                <w:szCs w:val="20"/>
                <w:highlight w:val="non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448"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hint="default"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6</w:t>
            </w:r>
          </w:p>
        </w:tc>
        <w:tc>
          <w:tcPr>
            <w:tcW w:w="613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投标报价满足招标文件要求（①报价唯一性；②报价未超最高限价；③未改变固定报价项（如有）；④按要求提供分项报价表（如有）；⑤报价合理性及异常低价响应审查（如有））</w:t>
            </w:r>
          </w:p>
        </w:tc>
        <w:tc>
          <w:tcPr>
            <w:tcW w:w="908" w:type="dxa"/>
            <w:tcMar>
              <w:top w:w="57" w:type="dxa"/>
              <w:left w:w="57" w:type="dxa"/>
              <w:bottom w:w="57" w:type="dxa"/>
              <w:right w:w="57" w:type="dxa"/>
            </w:tcMar>
            <w:vAlign w:val="center"/>
          </w:tcPr>
          <w:p>
            <w:pPr>
              <w:widowControl/>
              <w:autoSpaceDE/>
              <w:autoSpaceDN/>
              <w:spacing w:before="0" w:after="0" w:line="240" w:lineRule="exact"/>
              <w:ind w:left="0" w:right="0"/>
              <w:jc w:val="center"/>
              <w:rPr>
                <w:rFonts w:hint="eastAsia" w:ascii="宋体" w:hAnsi="宋体" w:eastAsia="宋体" w:cs="宋体"/>
                <w:color w:val="auto"/>
                <w:sz w:val="20"/>
                <w:szCs w:val="20"/>
                <w:highlight w:val="none"/>
                <w:lang w:val="en-US" w:eastAsia="zh-CN" w:bidi="ar-SA"/>
              </w:rPr>
            </w:pPr>
          </w:p>
        </w:tc>
        <w:tc>
          <w:tcPr>
            <w:tcW w:w="939" w:type="dxa"/>
            <w:vAlign w:val="center"/>
          </w:tcPr>
          <w:p>
            <w:pPr>
              <w:widowControl/>
              <w:autoSpaceDE/>
              <w:autoSpaceDN/>
              <w:spacing w:before="0" w:after="0" w:line="240" w:lineRule="exact"/>
              <w:ind w:left="0" w:right="0"/>
              <w:jc w:val="center"/>
              <w:rPr>
                <w:rFonts w:hint="eastAsia" w:ascii="宋体" w:hAnsi="宋体" w:eastAsia="宋体" w:cs="宋体"/>
                <w:color w:val="auto"/>
                <w:sz w:val="20"/>
                <w:szCs w:val="20"/>
                <w:highlight w:val="none"/>
                <w:lang w:val="en-US" w:eastAsia="zh-CN" w:bidi="ar-SA"/>
              </w:rPr>
            </w:pPr>
          </w:p>
        </w:tc>
        <w:tc>
          <w:tcPr>
            <w:tcW w:w="679" w:type="dxa"/>
            <w:tcMar>
              <w:top w:w="57" w:type="dxa"/>
              <w:left w:w="57" w:type="dxa"/>
              <w:bottom w:w="57" w:type="dxa"/>
              <w:right w:w="57" w:type="dxa"/>
            </w:tcMar>
            <w:vAlign w:val="center"/>
          </w:tcPr>
          <w:p>
            <w:pPr>
              <w:widowControl/>
              <w:autoSpaceDE/>
              <w:autoSpaceDN/>
              <w:spacing w:before="0" w:after="0" w:line="240" w:lineRule="exact"/>
              <w:ind w:left="0" w:right="0"/>
              <w:jc w:val="center"/>
              <w:rPr>
                <w:rFonts w:hint="eastAsia" w:ascii="宋体" w:hAnsi="宋体" w:eastAsia="宋体" w:cs="宋体"/>
                <w:color w:val="auto"/>
                <w:sz w:val="20"/>
                <w:szCs w:val="20"/>
                <w:highlight w:val="none"/>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36"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7</w:t>
            </w:r>
          </w:p>
        </w:tc>
        <w:tc>
          <w:tcPr>
            <w:tcW w:w="613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按照招标文件规定要求签署、盖章且投标文件有法定代表人签字或盖个人名章（或签字人有法定代表人有效授权书）的</w:t>
            </w:r>
            <w:r>
              <w:rPr>
                <w:rFonts w:hint="eastAsia" w:cs="宋体"/>
                <w:color w:val="auto"/>
                <w:sz w:val="20"/>
                <w:szCs w:val="20"/>
                <w:highlight w:val="none"/>
                <w:lang w:val="en-US" w:eastAsia="zh-CN" w:bidi="ar-SA"/>
              </w:rPr>
              <w:t>。</w:t>
            </w:r>
          </w:p>
        </w:tc>
        <w:tc>
          <w:tcPr>
            <w:tcW w:w="90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9"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9"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32" w:hRule="atLeast"/>
          <w:jc w:val="center"/>
        </w:trPr>
        <w:tc>
          <w:tcPr>
            <w:tcW w:w="619" w:type="dxa"/>
            <w:tcBorders>
              <w:bottom w:val="single" w:color="auto" w:sz="4" w:space="0"/>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default" w:cs="宋体"/>
                <w:color w:val="auto"/>
                <w:sz w:val="20"/>
                <w:szCs w:val="20"/>
                <w:highlight w:val="none"/>
                <w:lang w:val="en-US" w:eastAsia="zh-CN" w:bidi="ar-SA"/>
              </w:rPr>
            </w:pPr>
            <w:r>
              <w:rPr>
                <w:rFonts w:hint="eastAsia" w:cs="宋体"/>
                <w:color w:val="auto"/>
                <w:sz w:val="20"/>
                <w:szCs w:val="20"/>
                <w:highlight w:val="none"/>
                <w:lang w:val="en-US" w:eastAsia="zh-CN" w:bidi="ar-SA"/>
              </w:rPr>
              <w:t>8</w:t>
            </w:r>
          </w:p>
        </w:tc>
        <w:tc>
          <w:tcPr>
            <w:tcW w:w="6133" w:type="dxa"/>
            <w:tcBorders>
              <w:left w:val="single" w:color="auto" w:sz="4" w:space="0"/>
              <w:bottom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eastAsia="宋体" w:cs="宋体"/>
                <w:color w:val="auto"/>
                <w:sz w:val="20"/>
                <w:szCs w:val="20"/>
                <w:highlight w:val="none"/>
                <w:lang w:val="en-US" w:eastAsia="zh-CN" w:bidi="ar-SA"/>
              </w:rPr>
              <w:t>投标文件完全响应招标文件的实质性条款（即标注★号条款，如有）。</w:t>
            </w:r>
          </w:p>
        </w:tc>
        <w:tc>
          <w:tcPr>
            <w:tcW w:w="908" w:type="dxa"/>
            <w:tcBorders>
              <w:bottom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9" w:type="dxa"/>
            <w:tcBorders>
              <w:bottom w:val="single" w:color="auto" w:sz="4" w:space="0"/>
            </w:tcBorders>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9" w:type="dxa"/>
            <w:tcBorders>
              <w:bottom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39" w:hRule="atLeast"/>
          <w:jc w:val="center"/>
        </w:trPr>
        <w:tc>
          <w:tcPr>
            <w:tcW w:w="619"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default"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9</w:t>
            </w:r>
          </w:p>
        </w:tc>
        <w:tc>
          <w:tcPr>
            <w:tcW w:w="6133" w:type="dxa"/>
            <w:tcBorders>
              <w:top w:val="single" w:color="auto" w:sz="4" w:space="0"/>
              <w:left w:val="single" w:color="auto" w:sz="4" w:space="0"/>
              <w:bottom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不存在投标人串通投标情形。</w:t>
            </w:r>
          </w:p>
        </w:tc>
        <w:tc>
          <w:tcPr>
            <w:tcW w:w="908" w:type="dxa"/>
            <w:tcBorders>
              <w:top w:val="single" w:color="auto" w:sz="4" w:space="0"/>
              <w:bottom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9" w:type="dxa"/>
            <w:tcBorders>
              <w:top w:val="single" w:color="auto" w:sz="4" w:space="0"/>
              <w:bottom w:val="nil"/>
            </w:tcBorders>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9" w:type="dxa"/>
            <w:tcBorders>
              <w:top w:val="single" w:color="auto" w:sz="4" w:space="0"/>
              <w:bottom w:val="single" w:color="auto" w:sz="4" w:space="0"/>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32" w:hRule="atLeast"/>
          <w:jc w:val="center"/>
        </w:trPr>
        <w:tc>
          <w:tcPr>
            <w:tcW w:w="6752" w:type="dxa"/>
            <w:gridSpan w:val="2"/>
            <w:tcBorders>
              <w:top w:val="nil"/>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结论</w:t>
            </w:r>
          </w:p>
        </w:tc>
        <w:tc>
          <w:tcPr>
            <w:tcW w:w="908" w:type="dxa"/>
            <w:tcBorders>
              <w:top w:val="nil"/>
            </w:tcBorders>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9"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9" w:type="dxa"/>
            <w:tcBorders>
              <w:top w:val="nil"/>
            </w:tcBorders>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39" w:hRule="atLeast"/>
          <w:jc w:val="center"/>
        </w:trPr>
        <w:tc>
          <w:tcPr>
            <w:tcW w:w="6752" w:type="dxa"/>
            <w:gridSpan w:val="2"/>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不通过原因说明</w:t>
            </w:r>
          </w:p>
        </w:tc>
        <w:tc>
          <w:tcPr>
            <w:tcW w:w="90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9"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9"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bookmarkEnd w:id="6"/>
    </w:tbl>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备注：</w:t>
      </w:r>
    </w:p>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1．评审时评委对投标人是否满足要求逐条标注评审意见，“是”标记为“○”，“否”标记为“×”；</w:t>
      </w:r>
    </w:p>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2．评审结论栏统一填写为“通过”或“不通过”，出现一个“×”为“不通过”；</w:t>
      </w:r>
    </w:p>
    <w:p>
      <w:pPr>
        <w:widowControl/>
        <w:autoSpaceDE/>
        <w:autoSpaceDN/>
        <w:spacing w:before="0" w:after="0" w:line="240" w:lineRule="auto"/>
        <w:ind w:left="0" w:right="0"/>
        <w:jc w:val="left"/>
        <w:rPr>
          <w:rFonts w:hint="eastAsia" w:ascii="Times New Roman" w:hAnsi="Times New Roman" w:cs="Times New Roman"/>
          <w:color w:val="auto"/>
          <w:sz w:val="21"/>
          <w:szCs w:val="20"/>
          <w:highlight w:val="none"/>
          <w:lang w:val="en-US" w:bidi="ar-SA"/>
        </w:rPr>
      </w:pPr>
      <w:r>
        <w:rPr>
          <w:rFonts w:hint="eastAsia" w:ascii="宋体" w:hAnsi="宋体" w:cs="宋体"/>
          <w:color w:val="auto"/>
          <w:sz w:val="20"/>
          <w:szCs w:val="18"/>
          <w:highlight w:val="none"/>
          <w:lang w:val="en-US" w:bidi="ar-SA"/>
        </w:rPr>
        <w:t>3．对结论为“不通过”的投标，要说明原因。</w:t>
      </w:r>
    </w:p>
    <w:p>
      <w:pPr>
        <w:widowControl/>
        <w:autoSpaceDE/>
        <w:autoSpaceDN/>
        <w:spacing w:before="0" w:after="0" w:line="240" w:lineRule="auto"/>
        <w:ind w:left="0" w:right="0"/>
        <w:jc w:val="left"/>
        <w:rPr>
          <w:rFonts w:hint="eastAsia"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评委签名：</w:t>
      </w:r>
      <w:r>
        <w:rPr>
          <w:rFonts w:hint="eastAsia" w:ascii="宋体" w:hAnsi="宋体" w:cs="宋体"/>
          <w:color w:val="auto"/>
          <w:sz w:val="20"/>
          <w:szCs w:val="18"/>
          <w:highlight w:val="none"/>
          <w:lang w:val="en-US" w:eastAsia="zh-CN" w:bidi="ar-SA"/>
        </w:rPr>
        <w:t xml:space="preserve">             </w:t>
      </w:r>
      <w:r>
        <w:rPr>
          <w:rFonts w:hint="eastAsia" w:ascii="宋体" w:hAnsi="宋体" w:cs="宋体"/>
          <w:color w:val="auto"/>
          <w:sz w:val="20"/>
          <w:szCs w:val="18"/>
          <w:highlight w:val="none"/>
          <w:lang w:val="en-US" w:bidi="ar-SA"/>
        </w:rPr>
        <w:t>日期：</w:t>
      </w:r>
      <w:r>
        <w:rPr>
          <w:rFonts w:hint="eastAsia" w:ascii="宋体" w:hAnsi="宋体" w:cs="宋体"/>
          <w:color w:val="auto"/>
          <w:sz w:val="20"/>
          <w:szCs w:val="18"/>
          <w:highlight w:val="none"/>
          <w:lang w:val="en-US" w:bidi="ar-SA"/>
        </w:rPr>
        <w:br w:type="page"/>
      </w:r>
    </w:p>
    <w:p>
      <w:pPr>
        <w:rPr>
          <w:rFonts w:ascii="宋体" w:hAnsi="宋体" w:cs="宋体"/>
          <w:b/>
          <w:bCs/>
          <w:color w:val="auto"/>
          <w:sz w:val="24"/>
          <w:szCs w:val="24"/>
          <w:highlight w:val="none"/>
        </w:rPr>
      </w:pPr>
      <w:r>
        <w:rPr>
          <w:rFonts w:hint="eastAsia" w:ascii="宋体" w:hAnsi="宋体" w:cs="宋体"/>
          <w:b/>
          <w:bCs/>
          <w:color w:val="auto"/>
          <w:sz w:val="24"/>
          <w:szCs w:val="24"/>
          <w:highlight w:val="none"/>
        </w:rPr>
        <w:t>附表</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：技术商务评审表</w:t>
      </w:r>
    </w:p>
    <w:p>
      <w:pPr>
        <w:widowControl/>
        <w:autoSpaceDE/>
        <w:autoSpaceDN/>
        <w:spacing w:before="0" w:after="120" w:line="240" w:lineRule="auto"/>
        <w:ind w:left="0" w:right="0"/>
        <w:jc w:val="center"/>
        <w:rPr>
          <w:rFonts w:hint="eastAsia" w:ascii="宋体" w:hAnsi="宋体" w:cs="Times New Roman"/>
          <w:b/>
          <w:color w:val="auto"/>
          <w:sz w:val="21"/>
          <w:szCs w:val="21"/>
          <w:highlight w:val="none"/>
          <w:lang w:val="en-US" w:bidi="ar-SA"/>
        </w:rPr>
      </w:pPr>
      <w:r>
        <w:rPr>
          <w:rFonts w:hint="eastAsia" w:ascii="宋体" w:hAnsi="宋体" w:cs="Times New Roman"/>
          <w:b/>
          <w:color w:val="auto"/>
          <w:sz w:val="21"/>
          <w:szCs w:val="21"/>
          <w:highlight w:val="none"/>
          <w:lang w:val="en-US" w:bidi="ar-SA"/>
        </w:rPr>
        <w:t>技术商务评审表（满分</w:t>
      </w:r>
      <w:r>
        <w:rPr>
          <w:rFonts w:hint="eastAsia" w:cs="Times New Roman"/>
          <w:b/>
          <w:color w:val="auto"/>
          <w:sz w:val="21"/>
          <w:szCs w:val="21"/>
          <w:highlight w:val="none"/>
          <w:lang w:val="en-US" w:eastAsia="zh-CN" w:bidi="ar-SA"/>
        </w:rPr>
        <w:t>6</w:t>
      </w:r>
      <w:r>
        <w:rPr>
          <w:rFonts w:ascii="宋体" w:hAnsi="宋体" w:cs="Times New Roman"/>
          <w:b/>
          <w:color w:val="auto"/>
          <w:sz w:val="21"/>
          <w:szCs w:val="21"/>
          <w:highlight w:val="none"/>
          <w:lang w:val="en-US" w:bidi="ar-SA"/>
        </w:rPr>
        <w:t>0分</w:t>
      </w:r>
      <w:r>
        <w:rPr>
          <w:rFonts w:hint="eastAsia" w:ascii="宋体" w:hAnsi="宋体" w:cs="Times New Roman"/>
          <w:b/>
          <w:color w:val="auto"/>
          <w:sz w:val="21"/>
          <w:szCs w:val="21"/>
          <w:highlight w:val="none"/>
          <w:lang w:val="en-US" w:bidi="ar-SA"/>
        </w:rPr>
        <w:t>）</w:t>
      </w:r>
    </w:p>
    <w:tbl>
      <w:tblPr>
        <w:tblStyle w:val="16"/>
        <w:tblW w:w="944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7"/>
        <w:gridCol w:w="962"/>
        <w:gridCol w:w="72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1277" w:type="dxa"/>
            <w:vAlign w:val="center"/>
          </w:tcPr>
          <w:p>
            <w:pPr>
              <w:pStyle w:val="25"/>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评审因素</w:t>
            </w:r>
          </w:p>
        </w:tc>
        <w:tc>
          <w:tcPr>
            <w:tcW w:w="8164" w:type="dxa"/>
            <w:gridSpan w:val="2"/>
            <w:vAlign w:val="center"/>
          </w:tcPr>
          <w:p>
            <w:pPr>
              <w:pStyle w:val="25"/>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9" w:hRule="atLeast"/>
        </w:trPr>
        <w:tc>
          <w:tcPr>
            <w:tcW w:w="1277" w:type="dxa"/>
            <w:vAlign w:val="center"/>
          </w:tcPr>
          <w:p>
            <w:pPr>
              <w:pStyle w:val="25"/>
              <w:spacing w:line="240" w:lineRule="auto"/>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分值构成</w:t>
            </w:r>
          </w:p>
        </w:tc>
        <w:tc>
          <w:tcPr>
            <w:tcW w:w="8164" w:type="dxa"/>
            <w:gridSpan w:val="2"/>
            <w:tcBorders>
              <w:bottom w:val="single" w:color="auto" w:sz="4" w:space="0"/>
            </w:tcBorders>
            <w:vAlign w:val="center"/>
          </w:tcPr>
          <w:p>
            <w:pPr>
              <w:pStyle w:val="25"/>
              <w:spacing w:line="240" w:lineRule="auto"/>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技术部分</w:t>
            </w:r>
            <w:r>
              <w:rPr>
                <w:rFonts w:hint="eastAsia" w:ascii="Times New Roman" w:hAnsi="Times New Roman" w:cs="Times New Roman"/>
                <w:sz w:val="21"/>
                <w:szCs w:val="21"/>
                <w:highlight w:val="none"/>
                <w:lang w:val="en-US" w:eastAsia="zh-CN"/>
              </w:rPr>
              <w:t>32</w:t>
            </w:r>
            <w:r>
              <w:rPr>
                <w:rFonts w:hint="default" w:ascii="Times New Roman" w:hAnsi="Times New Roman" w:cs="Times New Roman"/>
                <w:sz w:val="21"/>
                <w:szCs w:val="21"/>
                <w:highlight w:val="none"/>
              </w:rPr>
              <w:t>.0分</w:t>
            </w:r>
          </w:p>
          <w:p>
            <w:pPr>
              <w:pStyle w:val="25"/>
              <w:spacing w:line="240" w:lineRule="auto"/>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商务部分</w:t>
            </w:r>
            <w:r>
              <w:rPr>
                <w:rFonts w:hint="eastAsia" w:ascii="Times New Roman" w:hAnsi="Times New Roman" w:cs="Times New Roman"/>
                <w:sz w:val="21"/>
                <w:szCs w:val="21"/>
                <w:highlight w:val="none"/>
                <w:lang w:val="en-US" w:eastAsia="zh-CN"/>
              </w:rPr>
              <w:t>28</w:t>
            </w:r>
            <w:r>
              <w:rPr>
                <w:rFonts w:hint="default" w:ascii="Times New Roman" w:hAnsi="Times New Roman" w:cs="Times New Roman"/>
                <w:sz w:val="21"/>
                <w:szCs w:val="21"/>
                <w:highlight w:val="none"/>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77" w:type="dxa"/>
            <w:vMerge w:val="restart"/>
            <w:tcBorders>
              <w:right w:val="single" w:color="auto" w:sz="4" w:space="0"/>
            </w:tcBorders>
            <w:vAlign w:val="center"/>
          </w:tcPr>
          <w:p>
            <w:pPr>
              <w:widowControl/>
              <w:autoSpaceDE/>
              <w:autoSpaceDN/>
              <w:snapToGrid w:val="0"/>
              <w:spacing w:before="0" w:after="0" w:line="240" w:lineRule="auto"/>
              <w:ind w:left="42" w:leftChars="19" w:right="0"/>
              <w:jc w:val="center"/>
              <w:rPr>
                <w:rFonts w:ascii="Times New Roman" w:hAnsi="Times New Roman" w:cs="Times New Roman"/>
                <w:sz w:val="21"/>
                <w:szCs w:val="21"/>
              </w:rPr>
            </w:pPr>
            <w:r>
              <w:rPr>
                <w:rFonts w:hint="default" w:ascii="Times New Roman" w:hAnsi="Times New Roman" w:eastAsia="宋体" w:cs="Times New Roman"/>
                <w:color w:val="auto"/>
                <w:sz w:val="21"/>
                <w:szCs w:val="21"/>
                <w:highlight w:val="none"/>
                <w:lang w:val="en-US" w:bidi="ar-SA"/>
              </w:rPr>
              <w:t>技术部分（</w:t>
            </w:r>
            <w:r>
              <w:rPr>
                <w:rFonts w:hint="eastAsia" w:ascii="Times New Roman" w:hAnsi="Times New Roman" w:cs="Times New Roman"/>
                <w:color w:val="auto"/>
                <w:sz w:val="21"/>
                <w:szCs w:val="21"/>
                <w:highlight w:val="none"/>
                <w:lang w:val="en-US" w:eastAsia="zh-CN" w:bidi="ar-SA"/>
              </w:rPr>
              <w:t>32</w:t>
            </w:r>
            <w:r>
              <w:rPr>
                <w:rFonts w:hint="default" w:ascii="Times New Roman" w:hAnsi="Times New Roman" w:eastAsia="宋体" w:cs="Times New Roman"/>
                <w:color w:val="auto"/>
                <w:sz w:val="21"/>
                <w:szCs w:val="21"/>
                <w:highlight w:val="none"/>
                <w:lang w:val="en-US" w:bidi="ar-SA"/>
              </w:rPr>
              <w:t>分）</w:t>
            </w:r>
          </w:p>
        </w:tc>
        <w:tc>
          <w:tcPr>
            <w:tcW w:w="962" w:type="dxa"/>
            <w:tcBorders>
              <w:top w:val="single" w:color="auto" w:sz="4" w:space="0"/>
              <w:left w:val="single" w:color="auto" w:sz="4" w:space="0"/>
              <w:bottom w:val="single" w:color="auto" w:sz="4" w:space="0"/>
              <w:right w:val="single" w:color="auto" w:sz="4" w:space="0"/>
            </w:tcBorders>
            <w:vAlign w:val="center"/>
          </w:tcPr>
          <w:p>
            <w:pPr>
              <w:pStyle w:val="25"/>
              <w:spacing w:line="240" w:lineRule="auto"/>
              <w:jc w:val="center"/>
              <w:rPr>
                <w:rFonts w:hint="default" w:ascii="Times New Roman" w:hAnsi="Times New Roman" w:cs="Times New Roman"/>
                <w:sz w:val="21"/>
                <w:szCs w:val="21"/>
              </w:rPr>
            </w:pPr>
            <w:r>
              <w:rPr>
                <w:rFonts w:hint="eastAsia"/>
                <w:lang w:val="en-US" w:eastAsia="zh-CN"/>
              </w:rPr>
              <w:t>项目服务方案 (15</w:t>
            </w:r>
            <w:r>
              <w:rPr>
                <w:rFonts w:hint="default"/>
                <w:lang w:val="en-US" w:eastAsia="zh-CN"/>
              </w:rPr>
              <w:t>分)</w:t>
            </w:r>
          </w:p>
        </w:tc>
        <w:tc>
          <w:tcPr>
            <w:tcW w:w="7202" w:type="dxa"/>
            <w:tcBorders>
              <w:top w:val="single" w:color="auto" w:sz="4" w:space="0"/>
              <w:left w:val="single" w:color="auto" w:sz="4" w:space="0"/>
              <w:bottom w:val="single" w:color="auto" w:sz="4" w:space="0"/>
              <w:right w:val="single" w:color="auto" w:sz="4" w:space="0"/>
            </w:tcBorders>
            <w:vAlign w:val="center"/>
          </w:tcPr>
          <w:p>
            <w:pPr>
              <w:pStyle w:val="25"/>
              <w:spacing w:line="240" w:lineRule="auto"/>
              <w:jc w:val="left"/>
              <w:rPr>
                <w:rFonts w:hint="eastAsia"/>
                <w:lang w:val="en-US" w:eastAsia="zh-CN"/>
              </w:rPr>
            </w:pPr>
            <w:r>
              <w:rPr>
                <w:rFonts w:hint="eastAsia"/>
                <w:lang w:val="en-US" w:eastAsia="zh-CN"/>
              </w:rPr>
              <w:t>根据投标人结合第二章《用户需求书》中相关要求提供的项目服务方案（包括但不限于①对采购项目需求的理解；②汽车维修保养服务流程；③定价及结算流程；④车辆监控和档案管理；⑤车辆维修检验措施等量化指标的响应内容）进行综合评审：</w:t>
            </w:r>
          </w:p>
          <w:p>
            <w:pPr>
              <w:pStyle w:val="25"/>
              <w:spacing w:line="240" w:lineRule="auto"/>
              <w:jc w:val="left"/>
              <w:rPr>
                <w:rFonts w:hint="eastAsia"/>
                <w:lang w:val="en-US" w:eastAsia="zh-CN"/>
              </w:rPr>
            </w:pPr>
            <w:r>
              <w:rPr>
                <w:rFonts w:hint="eastAsia"/>
                <w:lang w:val="en-US" w:eastAsia="zh-CN"/>
              </w:rPr>
              <w:t>（1）针对上述全部量化指标作出了明确的响应，且每个量化指标完全满足或者优于采购需求；</w:t>
            </w:r>
            <w:r>
              <w:rPr>
                <w:rFonts w:hint="default"/>
                <w:lang w:val="en-US" w:eastAsia="zh-CN"/>
              </w:rPr>
              <w:t>得</w:t>
            </w:r>
            <w:r>
              <w:rPr>
                <w:rFonts w:hint="eastAsia"/>
                <w:lang w:val="en-US" w:eastAsia="zh-CN"/>
              </w:rPr>
              <w:t>15</w:t>
            </w:r>
            <w:r>
              <w:rPr>
                <w:rFonts w:hint="default"/>
                <w:lang w:val="en-US" w:eastAsia="zh-CN"/>
              </w:rPr>
              <w:t>分</w:t>
            </w:r>
            <w:r>
              <w:rPr>
                <w:rFonts w:hint="eastAsia"/>
                <w:lang w:val="en-US" w:eastAsia="zh-CN"/>
              </w:rPr>
              <w:t>；</w:t>
            </w:r>
          </w:p>
          <w:p>
            <w:pPr>
              <w:pStyle w:val="25"/>
              <w:spacing w:line="240" w:lineRule="auto"/>
              <w:jc w:val="left"/>
              <w:rPr>
                <w:rFonts w:hint="eastAsia"/>
                <w:lang w:val="en-US" w:eastAsia="zh-CN"/>
              </w:rPr>
            </w:pPr>
            <w:r>
              <w:rPr>
                <w:rFonts w:hint="eastAsia"/>
                <w:lang w:val="en-US" w:eastAsia="zh-CN"/>
              </w:rPr>
              <w:t>（2）只针对上述量化指标中的其中4项作出明确响应，且相应量化指标完全满足或者优于这些量化指标所对应的采购需求</w:t>
            </w:r>
            <w:r>
              <w:rPr>
                <w:rFonts w:hint="default"/>
                <w:lang w:val="en-US" w:eastAsia="zh-CN"/>
              </w:rPr>
              <w:t>，得</w:t>
            </w:r>
            <w:r>
              <w:rPr>
                <w:rFonts w:hint="eastAsia"/>
                <w:lang w:val="en-US" w:eastAsia="zh-CN"/>
              </w:rPr>
              <w:t>12</w:t>
            </w:r>
            <w:r>
              <w:rPr>
                <w:rFonts w:hint="default"/>
                <w:lang w:val="en-US" w:eastAsia="zh-CN"/>
              </w:rPr>
              <w:t>分</w:t>
            </w:r>
            <w:r>
              <w:rPr>
                <w:rFonts w:hint="eastAsia"/>
                <w:lang w:val="en-US" w:eastAsia="zh-CN"/>
              </w:rPr>
              <w:t>；</w:t>
            </w:r>
          </w:p>
          <w:p>
            <w:pPr>
              <w:pStyle w:val="25"/>
              <w:spacing w:line="240" w:lineRule="auto"/>
              <w:jc w:val="left"/>
              <w:rPr>
                <w:rFonts w:hint="eastAsia"/>
                <w:lang w:val="en-US" w:eastAsia="zh-CN"/>
              </w:rPr>
            </w:pPr>
            <w:r>
              <w:rPr>
                <w:rFonts w:hint="eastAsia"/>
                <w:lang w:val="en-US" w:eastAsia="zh-CN"/>
              </w:rPr>
              <w:t>（3）只针对上述量化指标中的其中3项作出明确响应，且相应量化指标完全满足或者优于这些量化指标所对应的采购</w:t>
            </w:r>
            <w:bookmarkStart w:id="153" w:name="_GoBack"/>
            <w:bookmarkEnd w:id="153"/>
            <w:r>
              <w:rPr>
                <w:rFonts w:hint="eastAsia"/>
                <w:lang w:val="en-US" w:eastAsia="zh-CN"/>
              </w:rPr>
              <w:t>需求</w:t>
            </w:r>
            <w:r>
              <w:rPr>
                <w:rFonts w:hint="default"/>
                <w:lang w:val="en-US" w:eastAsia="zh-CN"/>
              </w:rPr>
              <w:t>，得</w:t>
            </w:r>
            <w:r>
              <w:rPr>
                <w:rFonts w:hint="eastAsia"/>
                <w:lang w:val="en-US" w:eastAsia="zh-CN"/>
              </w:rPr>
              <w:t>9</w:t>
            </w:r>
            <w:r>
              <w:rPr>
                <w:rFonts w:hint="default"/>
                <w:lang w:val="en-US" w:eastAsia="zh-CN"/>
              </w:rPr>
              <w:t>分</w:t>
            </w:r>
            <w:r>
              <w:rPr>
                <w:rFonts w:hint="eastAsia"/>
                <w:lang w:val="en-US" w:eastAsia="zh-CN"/>
              </w:rPr>
              <w:t>；</w:t>
            </w:r>
          </w:p>
          <w:p>
            <w:pPr>
              <w:pStyle w:val="25"/>
              <w:spacing w:line="240" w:lineRule="auto"/>
              <w:jc w:val="left"/>
              <w:rPr>
                <w:rFonts w:hint="eastAsia"/>
                <w:lang w:val="en-US" w:eastAsia="zh-CN"/>
              </w:rPr>
            </w:pPr>
            <w:r>
              <w:rPr>
                <w:rFonts w:hint="eastAsia"/>
                <w:lang w:val="en-US" w:eastAsia="zh-CN"/>
              </w:rPr>
              <w:t>（4）只针对上述量化指标中的其中2项作出明确响应，且相应量化指标完全满足或者优于这些量化指标所对应的采购需求</w:t>
            </w:r>
            <w:r>
              <w:rPr>
                <w:rFonts w:hint="default"/>
                <w:lang w:val="en-US" w:eastAsia="zh-CN"/>
              </w:rPr>
              <w:t>，得</w:t>
            </w:r>
            <w:r>
              <w:rPr>
                <w:rFonts w:hint="eastAsia"/>
                <w:lang w:val="en-US" w:eastAsia="zh-CN"/>
              </w:rPr>
              <w:t>6</w:t>
            </w:r>
            <w:r>
              <w:rPr>
                <w:rFonts w:hint="default"/>
                <w:lang w:val="en-US" w:eastAsia="zh-CN"/>
              </w:rPr>
              <w:t>分</w:t>
            </w:r>
            <w:r>
              <w:rPr>
                <w:rFonts w:hint="eastAsia"/>
                <w:lang w:val="en-US" w:eastAsia="zh-CN"/>
              </w:rPr>
              <w:t>；</w:t>
            </w:r>
          </w:p>
          <w:p>
            <w:pPr>
              <w:pStyle w:val="25"/>
              <w:spacing w:line="240" w:lineRule="auto"/>
              <w:jc w:val="left"/>
              <w:rPr>
                <w:rFonts w:hint="default"/>
                <w:lang w:val="en-US" w:eastAsia="zh-CN"/>
              </w:rPr>
            </w:pPr>
            <w:r>
              <w:rPr>
                <w:rFonts w:hint="eastAsia"/>
                <w:lang w:val="en-US" w:eastAsia="zh-CN"/>
              </w:rPr>
              <w:t>（5）只针对上述量化指标中的其中1项作出明确响应，且相应量化指标完全满足或者优于该量化指标所对应的采购需求，得3分；</w:t>
            </w:r>
          </w:p>
          <w:p>
            <w:pPr>
              <w:pStyle w:val="25"/>
              <w:spacing w:line="240" w:lineRule="auto"/>
              <w:jc w:val="left"/>
              <w:rPr>
                <w:rFonts w:hint="default" w:ascii="Times New Roman" w:hAnsi="Times New Roman" w:eastAsia="宋体" w:cs="Times New Roman"/>
                <w:color w:val="auto"/>
                <w:sz w:val="21"/>
                <w:szCs w:val="21"/>
                <w:highlight w:val="none"/>
                <w:lang w:val="en-US" w:eastAsia="zh-CN" w:bidi="ar-SA"/>
              </w:rPr>
            </w:pPr>
            <w:r>
              <w:rPr>
                <w:rFonts w:hint="eastAsia"/>
                <w:lang w:val="en-US" w:eastAsia="zh-CN"/>
              </w:rPr>
              <w:t>（6）未针对上述量化指标中的任何一项作出响应；或者虽针对上述全部量化指标作出响应但均不能满足采购需求；或者未提供本项内容，</w:t>
            </w:r>
            <w:r>
              <w:rPr>
                <w:rFonts w:hint="default"/>
                <w:lang w:val="en-US" w:eastAsia="zh-CN"/>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3" w:hRule="atLeast"/>
        </w:trPr>
        <w:tc>
          <w:tcPr>
            <w:tcW w:w="1277" w:type="dxa"/>
            <w:vMerge w:val="continue"/>
            <w:vAlign w:val="center"/>
          </w:tcPr>
          <w:p>
            <w:pPr>
              <w:spacing w:line="240" w:lineRule="auto"/>
              <w:jc w:val="left"/>
              <w:rPr>
                <w:rFonts w:ascii="Times New Roman" w:hAnsi="Times New Roman" w:cs="Times New Roman"/>
                <w:sz w:val="21"/>
                <w:szCs w:val="21"/>
              </w:rPr>
            </w:pPr>
          </w:p>
        </w:tc>
        <w:tc>
          <w:tcPr>
            <w:tcW w:w="962" w:type="dxa"/>
            <w:tcBorders>
              <w:top w:val="single" w:color="auto" w:sz="4" w:space="0"/>
            </w:tcBorders>
            <w:vAlign w:val="center"/>
          </w:tcPr>
          <w:p>
            <w:pPr>
              <w:pStyle w:val="25"/>
              <w:spacing w:line="240" w:lineRule="auto"/>
              <w:jc w:val="center"/>
              <w:rPr>
                <w:rFonts w:hint="eastAsia"/>
                <w:lang w:val="en-US" w:eastAsia="zh-CN"/>
              </w:rPr>
            </w:pPr>
            <w:r>
              <w:rPr>
                <w:rFonts w:hint="eastAsia"/>
                <w:lang w:val="en-US" w:eastAsia="zh-CN"/>
              </w:rPr>
              <w:t>应急服务方案</w:t>
            </w:r>
            <w:r>
              <w:rPr>
                <w:rFonts w:hint="default"/>
                <w:lang w:val="en-US" w:eastAsia="zh-CN"/>
              </w:rPr>
              <w:t>(</w:t>
            </w:r>
            <w:r>
              <w:rPr>
                <w:rFonts w:hint="eastAsia"/>
                <w:lang w:val="en-US" w:eastAsia="zh-CN"/>
              </w:rPr>
              <w:t>9</w:t>
            </w:r>
            <w:r>
              <w:rPr>
                <w:rFonts w:hint="default"/>
                <w:lang w:val="en-US" w:eastAsia="zh-CN"/>
              </w:rPr>
              <w:t>分)</w:t>
            </w:r>
          </w:p>
        </w:tc>
        <w:tc>
          <w:tcPr>
            <w:tcW w:w="7202" w:type="dxa"/>
            <w:tcBorders>
              <w:top w:val="single" w:color="auto" w:sz="4" w:space="0"/>
            </w:tcBorders>
            <w:vAlign w:val="center"/>
          </w:tcPr>
          <w:p>
            <w:pPr>
              <w:pStyle w:val="25"/>
              <w:spacing w:line="240" w:lineRule="auto"/>
              <w:jc w:val="left"/>
              <w:rPr>
                <w:rFonts w:hint="eastAsia"/>
                <w:lang w:val="en-US" w:eastAsia="zh-CN"/>
              </w:rPr>
            </w:pPr>
            <w:r>
              <w:rPr>
                <w:rFonts w:hint="eastAsia"/>
                <w:lang w:val="en-US" w:eastAsia="zh-CN"/>
              </w:rPr>
              <w:t>根据投标人结合第二章《用户需求书》中相关要求在投标文件中提供的应急服务方案（包括但不限于①维修材料紧缺时的应对措施；②突发事件的应急车辆维修服务方案；③应急人员调配及到位时间等量化指标的响应内容）进行综合评审：</w:t>
            </w:r>
          </w:p>
          <w:p>
            <w:pPr>
              <w:pStyle w:val="25"/>
              <w:spacing w:line="240" w:lineRule="auto"/>
              <w:jc w:val="left"/>
              <w:rPr>
                <w:rFonts w:hint="default"/>
                <w:lang w:val="en-US" w:eastAsia="zh-CN"/>
              </w:rPr>
            </w:pPr>
            <w:r>
              <w:rPr>
                <w:rFonts w:hint="eastAsia"/>
                <w:lang w:val="en-US" w:eastAsia="zh-CN"/>
              </w:rPr>
              <w:t>（1）针对上述全部量化指标作出了明确的响应，且每个量化指标完全满足或者优于采购需求，得9分；</w:t>
            </w:r>
          </w:p>
          <w:p>
            <w:pPr>
              <w:pStyle w:val="25"/>
              <w:spacing w:line="240" w:lineRule="auto"/>
              <w:jc w:val="left"/>
              <w:rPr>
                <w:rFonts w:hint="eastAsia"/>
                <w:lang w:val="en-US" w:eastAsia="zh-CN"/>
              </w:rPr>
            </w:pPr>
            <w:r>
              <w:rPr>
                <w:rFonts w:hint="eastAsia" w:ascii="Times New Roman" w:hAnsi="Times New Roman" w:cs="Times New Roman" w:eastAsiaTheme="minorEastAsia"/>
                <w:sz w:val="21"/>
                <w:szCs w:val="21"/>
                <w:lang w:val="en-US" w:eastAsia="zh-CN"/>
              </w:rPr>
              <w:t>（</w:t>
            </w:r>
            <w:r>
              <w:rPr>
                <w:rFonts w:hint="eastAsia"/>
                <w:lang w:val="en-US" w:eastAsia="zh-CN"/>
              </w:rPr>
              <w:t>2）只针对上述量化指标中的其中2项作出明确响应，且相应量化指标完全满足或者优于这些量化指标所对应的采购需求，得6分；。</w:t>
            </w:r>
          </w:p>
          <w:p>
            <w:pPr>
              <w:pStyle w:val="25"/>
              <w:spacing w:line="240" w:lineRule="auto"/>
              <w:jc w:val="left"/>
              <w:rPr>
                <w:rFonts w:hint="eastAsia"/>
                <w:lang w:val="en-US" w:eastAsia="zh-CN"/>
              </w:rPr>
            </w:pPr>
            <w:r>
              <w:rPr>
                <w:rFonts w:hint="eastAsia"/>
                <w:lang w:val="en-US" w:eastAsia="zh-CN"/>
              </w:rPr>
              <w:t>（3）只针对上述量化指标中的其中1项作出明确响应，且相应量化指标完全满足或者优于该量化指标所对应的采购需求，得3分；</w:t>
            </w:r>
          </w:p>
          <w:p>
            <w:pPr>
              <w:pStyle w:val="25"/>
              <w:spacing w:line="240" w:lineRule="auto"/>
              <w:jc w:val="left"/>
              <w:rPr>
                <w:rFonts w:hint="eastAsia"/>
                <w:lang w:val="en-US" w:eastAsia="zh-CN"/>
              </w:rPr>
            </w:pPr>
            <w:r>
              <w:rPr>
                <w:rFonts w:hint="eastAsia"/>
                <w:lang w:val="en-US" w:eastAsia="zh-CN"/>
              </w:rPr>
              <w:t>（4）未针对上述量化指标中的任何一项作出响应；或者虽针对上述全部量化指标作出响应但均不能满足采购需求；或者未提供本项内容，</w:t>
            </w:r>
            <w:r>
              <w:rPr>
                <w:rFonts w:hint="default"/>
                <w:lang w:val="en-US" w:eastAsia="zh-CN"/>
              </w:rPr>
              <w:t>不得分</w:t>
            </w:r>
            <w:r>
              <w:rPr>
                <w:rFonts w:hint="eastAsia"/>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3" w:hRule="atLeast"/>
        </w:trPr>
        <w:tc>
          <w:tcPr>
            <w:tcW w:w="1277" w:type="dxa"/>
            <w:vMerge w:val="continue"/>
            <w:vAlign w:val="center"/>
          </w:tcPr>
          <w:p>
            <w:pPr>
              <w:spacing w:line="240" w:lineRule="auto"/>
              <w:jc w:val="left"/>
              <w:rPr>
                <w:rFonts w:ascii="Times New Roman" w:hAnsi="Times New Roman" w:cs="Times New Roman"/>
                <w:sz w:val="21"/>
                <w:szCs w:val="21"/>
              </w:rPr>
            </w:pPr>
          </w:p>
        </w:tc>
        <w:tc>
          <w:tcPr>
            <w:tcW w:w="962" w:type="dxa"/>
            <w:vAlign w:val="center"/>
          </w:tcPr>
          <w:p>
            <w:pPr>
              <w:pStyle w:val="25"/>
              <w:spacing w:line="240" w:lineRule="auto"/>
              <w:jc w:val="center"/>
              <w:rPr>
                <w:rFonts w:hint="eastAsia" w:ascii="Times New Roman" w:hAnsi="Times New Roman" w:cs="Times New Roman"/>
                <w:sz w:val="21"/>
                <w:szCs w:val="21"/>
                <w:lang w:val="en-US" w:eastAsia="zh-CN"/>
              </w:rPr>
            </w:pPr>
            <w:r>
              <w:rPr>
                <w:rFonts w:hint="eastAsia"/>
                <w:lang w:val="en-US" w:eastAsia="zh-CN"/>
              </w:rPr>
              <w:t>服务技术团队（8分）</w:t>
            </w:r>
          </w:p>
        </w:tc>
        <w:tc>
          <w:tcPr>
            <w:tcW w:w="7202" w:type="dxa"/>
            <w:vAlign w:val="center"/>
          </w:tcPr>
          <w:p>
            <w:pPr>
              <w:pStyle w:val="25"/>
              <w:spacing w:line="240" w:lineRule="auto"/>
              <w:jc w:val="left"/>
            </w:pPr>
            <w:r>
              <w:t>根据投标人拟投入本项目的车辆维修工专业技术能力进行评分：</w:t>
            </w:r>
          </w:p>
          <w:p>
            <w:pPr>
              <w:pStyle w:val="25"/>
              <w:spacing w:line="240" w:lineRule="auto"/>
              <w:jc w:val="left"/>
            </w:pPr>
            <w:r>
              <w:rPr>
                <w:rFonts w:hint="eastAsia"/>
                <w:lang w:eastAsia="zh-CN"/>
              </w:rPr>
              <w:t>（</w:t>
            </w:r>
            <w:r>
              <w:rPr>
                <w:rFonts w:hint="eastAsia"/>
                <w:lang w:val="en-US" w:eastAsia="zh-CN"/>
              </w:rPr>
              <w:t>1</w:t>
            </w:r>
            <w:r>
              <w:rPr>
                <w:rFonts w:hint="eastAsia"/>
                <w:lang w:eastAsia="zh-CN"/>
              </w:rPr>
              <w:t>）</w:t>
            </w:r>
            <w:r>
              <w:t>每具有一个</w:t>
            </w:r>
            <w:r>
              <w:rPr>
                <w:rFonts w:hint="eastAsia"/>
              </w:rPr>
              <w:t>人力资源和社会保障部门注册登记的</w:t>
            </w:r>
            <w:r>
              <w:t>二级或以上的</w:t>
            </w:r>
            <w:r>
              <w:rPr>
                <w:rFonts w:hint="eastAsia"/>
              </w:rPr>
              <w:t>汽车维修工</w:t>
            </w:r>
            <w:r>
              <w:t>技能职业资格证书的，得</w:t>
            </w:r>
            <w:r>
              <w:rPr>
                <w:rFonts w:hint="eastAsia"/>
                <w:lang w:val="en-US" w:eastAsia="zh-CN"/>
              </w:rPr>
              <w:t>2</w:t>
            </w:r>
            <w:r>
              <w:t>分，满分得</w:t>
            </w:r>
            <w:r>
              <w:rPr>
                <w:rFonts w:hint="eastAsia"/>
                <w:lang w:val="en-US" w:eastAsia="zh-CN"/>
              </w:rPr>
              <w:t>4</w:t>
            </w:r>
            <w:r>
              <w:t>分。</w:t>
            </w:r>
          </w:p>
          <w:p>
            <w:pPr>
              <w:pStyle w:val="25"/>
              <w:spacing w:line="240" w:lineRule="auto"/>
              <w:jc w:val="left"/>
              <w:rPr>
                <w:rFonts w:hint="eastAsia"/>
                <w:lang w:eastAsia="zh-CN"/>
              </w:rPr>
            </w:pPr>
            <w:r>
              <w:rPr>
                <w:rFonts w:hint="eastAsia"/>
                <w:lang w:eastAsia="zh-CN"/>
              </w:rPr>
              <w:t>（</w:t>
            </w:r>
            <w:r>
              <w:rPr>
                <w:rFonts w:hint="eastAsia"/>
                <w:lang w:val="en-US" w:eastAsia="zh-CN"/>
              </w:rPr>
              <w:t>2</w:t>
            </w:r>
            <w:r>
              <w:rPr>
                <w:rFonts w:hint="eastAsia"/>
                <w:lang w:eastAsia="zh-CN"/>
              </w:rPr>
              <w:t>）</w:t>
            </w:r>
            <w:r>
              <w:t>每具有一个</w:t>
            </w:r>
            <w:r>
              <w:rPr>
                <w:rFonts w:hint="eastAsia"/>
              </w:rPr>
              <w:t>人力资源和社会保障部门注册登记的</w:t>
            </w:r>
            <w:r>
              <w:rPr>
                <w:rFonts w:hint="eastAsia"/>
                <w:lang w:eastAsia="zh-CN"/>
              </w:rPr>
              <w:t>四</w:t>
            </w:r>
            <w:r>
              <w:t>级或以上的</w:t>
            </w:r>
            <w:r>
              <w:rPr>
                <w:rFonts w:hint="eastAsia"/>
              </w:rPr>
              <w:t>汽车维修工</w:t>
            </w:r>
            <w:r>
              <w:t>技能职业资格证书的，得</w:t>
            </w:r>
            <w:r>
              <w:rPr>
                <w:rFonts w:hint="eastAsia"/>
                <w:lang w:val="en-US" w:eastAsia="zh-CN"/>
              </w:rPr>
              <w:t>1</w:t>
            </w:r>
            <w:r>
              <w:t>分，满分得</w:t>
            </w:r>
            <w:r>
              <w:rPr>
                <w:rFonts w:hint="eastAsia"/>
                <w:lang w:val="en-US" w:eastAsia="zh-CN"/>
              </w:rPr>
              <w:t>2</w:t>
            </w:r>
            <w:r>
              <w:t>分。</w:t>
            </w:r>
          </w:p>
          <w:p>
            <w:pPr>
              <w:pStyle w:val="25"/>
              <w:spacing w:line="240" w:lineRule="auto"/>
              <w:jc w:val="left"/>
              <w:rPr>
                <w:rFonts w:hint="eastAsia" w:ascii="Times New Roman" w:hAnsi="Times New Roman" w:cs="Times New Roman" w:eastAsiaTheme="minorEastAsia"/>
                <w:sz w:val="21"/>
                <w:szCs w:val="21"/>
                <w:lang w:val="en-US" w:eastAsia="zh-CN"/>
              </w:rPr>
            </w:pPr>
            <w:r>
              <w:t>注：同一人具有不同证书的，按最高级别的计算，不重复计分。投标文件中须同时提供上述有效证书复印件及投标人为上述人员购买的近三个月（包含投标截止当月）中任意一个月的社保证明文件，或者有效的劳动合同</w:t>
            </w:r>
            <w:r>
              <w:rPr>
                <w:rFonts w:hint="eastAsia"/>
                <w:lang w:eastAsia="zh-CN"/>
              </w:rPr>
              <w:t>（雇主名称须与投标人名称一致）</w:t>
            </w:r>
            <w:r>
              <w:t>，提供复印件加盖投标人公章。未提供有效证书</w:t>
            </w:r>
            <w:r>
              <w:rPr>
                <w:rFonts w:hint="eastAsia"/>
                <w:lang w:eastAsia="zh-CN"/>
              </w:rPr>
              <w:t>及证明文件</w:t>
            </w:r>
            <w:r>
              <w:t>或者提供的资料不符合要求的不得分。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38" w:hRule="atLeast"/>
        </w:trPr>
        <w:tc>
          <w:tcPr>
            <w:tcW w:w="1277" w:type="dxa"/>
            <w:vMerge w:val="restart"/>
            <w:tcBorders>
              <w:top w:val="single" w:color="auto" w:sz="4" w:space="0"/>
              <w:left w:val="single" w:color="auto" w:sz="4" w:space="0"/>
            </w:tcBorders>
            <w:vAlign w:val="center"/>
          </w:tcPr>
          <w:p>
            <w:pPr>
              <w:spacing w:line="240" w:lineRule="auto"/>
              <w:jc w:val="left"/>
              <w:rPr>
                <w:rFonts w:ascii="Times New Roman" w:hAnsi="Times New Roman" w:cs="Times New Roman"/>
                <w:sz w:val="21"/>
                <w:szCs w:val="21"/>
              </w:rPr>
            </w:pPr>
            <w:r>
              <w:rPr>
                <w:rFonts w:ascii="Times New Roman" w:hAnsi="Times New Roman" w:cs="Times New Roman"/>
                <w:sz w:val="21"/>
                <w:szCs w:val="21"/>
              </w:rPr>
              <w:t>商务部分</w:t>
            </w:r>
            <w:r>
              <w:rPr>
                <w:rFonts w:hint="default" w:ascii="Times New Roman" w:hAnsi="Times New Roman" w:cs="Times New Roman"/>
                <w:sz w:val="21"/>
                <w:szCs w:val="21"/>
                <w:lang w:eastAsia="zh-CN"/>
              </w:rPr>
              <w:t>（</w:t>
            </w:r>
            <w:r>
              <w:rPr>
                <w:rFonts w:hint="eastAsia" w:ascii="Times New Roman" w:hAnsi="Times New Roman" w:cs="Times New Roman"/>
                <w:sz w:val="21"/>
                <w:szCs w:val="21"/>
                <w:lang w:val="en-US" w:eastAsia="zh-CN"/>
              </w:rPr>
              <w:t>28</w:t>
            </w:r>
            <w:r>
              <w:rPr>
                <w:rFonts w:hint="default" w:ascii="Times New Roman" w:hAnsi="Times New Roman" w:cs="Times New Roman"/>
                <w:sz w:val="21"/>
                <w:szCs w:val="21"/>
                <w:lang w:val="en-US" w:eastAsia="zh-CN"/>
              </w:rPr>
              <w:t>分</w:t>
            </w:r>
            <w:r>
              <w:rPr>
                <w:rFonts w:hint="default" w:ascii="Times New Roman" w:hAnsi="Times New Roman" w:cs="Times New Roman"/>
                <w:sz w:val="21"/>
                <w:szCs w:val="21"/>
                <w:lang w:eastAsia="zh-CN"/>
              </w:rPr>
              <w:t>）</w:t>
            </w:r>
          </w:p>
        </w:tc>
        <w:tc>
          <w:tcPr>
            <w:tcW w:w="962" w:type="dxa"/>
            <w:tcBorders>
              <w:top w:val="single" w:color="auto" w:sz="4" w:space="0"/>
            </w:tcBorders>
            <w:vAlign w:val="center"/>
          </w:tcPr>
          <w:p>
            <w:pPr>
              <w:pStyle w:val="25"/>
              <w:spacing w:line="240" w:lineRule="auto"/>
              <w:jc w:val="left"/>
              <w:rPr>
                <w:rFonts w:hint="default" w:ascii="Times New Roman" w:hAnsi="Times New Roman" w:cs="Times New Roman"/>
                <w:sz w:val="21"/>
                <w:szCs w:val="21"/>
              </w:rPr>
            </w:pPr>
            <w:r>
              <w:rPr>
                <w:rFonts w:hint="default"/>
                <w:lang w:val="en-US" w:eastAsia="zh-CN"/>
              </w:rPr>
              <w:t>同类项目业绩(</w:t>
            </w:r>
            <w:r>
              <w:rPr>
                <w:rFonts w:hint="eastAsia"/>
                <w:lang w:val="en-US" w:eastAsia="zh-CN"/>
              </w:rPr>
              <w:t>15</w:t>
            </w:r>
            <w:r>
              <w:rPr>
                <w:rFonts w:hint="default"/>
                <w:lang w:val="en-US" w:eastAsia="zh-CN"/>
              </w:rPr>
              <w:t>分)</w:t>
            </w:r>
          </w:p>
        </w:tc>
        <w:tc>
          <w:tcPr>
            <w:tcW w:w="7202" w:type="dxa"/>
            <w:tcBorders>
              <w:top w:val="single" w:color="auto" w:sz="4" w:space="0"/>
              <w:right w:val="single" w:color="auto" w:sz="4" w:space="0"/>
            </w:tcBorders>
            <w:vAlign w:val="center"/>
          </w:tcPr>
          <w:p>
            <w:pPr>
              <w:pStyle w:val="25"/>
              <w:spacing w:line="240" w:lineRule="auto"/>
              <w:jc w:val="left"/>
            </w:pPr>
            <w:r>
              <w:t>根据投标人自2021年1月1日以来（以合同签订时间为准）承接过或者正在履行的同类项目（同类项目是指合同内容中包含车辆维修服务内容）业绩合同的情况进行评分，每个业绩得</w:t>
            </w:r>
            <w:r>
              <w:rPr>
                <w:rFonts w:hint="eastAsia"/>
                <w:lang w:val="en-US" w:eastAsia="zh-CN"/>
              </w:rPr>
              <w:t>3</w:t>
            </w:r>
            <w:r>
              <w:t>分；本项满分</w:t>
            </w:r>
            <w:r>
              <w:rPr>
                <w:rFonts w:hint="eastAsia"/>
                <w:lang w:val="en-US" w:eastAsia="zh-CN"/>
              </w:rPr>
              <w:t>15</w:t>
            </w:r>
            <w:r>
              <w:t>分。</w:t>
            </w:r>
          </w:p>
          <w:p>
            <w:pPr>
              <w:pStyle w:val="25"/>
              <w:spacing w:line="240" w:lineRule="auto"/>
              <w:jc w:val="left"/>
              <w:rPr>
                <w:rFonts w:hint="default" w:ascii="Times New Roman" w:hAnsi="Times New Roman" w:cs="Times New Roman"/>
                <w:sz w:val="21"/>
                <w:szCs w:val="21"/>
              </w:rPr>
            </w:pPr>
            <w:r>
              <w:t>注：1.与同一个采购人签订的合同业绩</w:t>
            </w:r>
            <w:r>
              <w:rPr>
                <w:rFonts w:hint="eastAsia"/>
                <w:lang w:eastAsia="zh-CN"/>
              </w:rPr>
              <w:t>不</w:t>
            </w:r>
            <w:r>
              <w:t>重复计分；2.合同内容需要体现上述同类项目相关内容；3.投标文件中需提供合同</w:t>
            </w:r>
            <w:r>
              <w:rPr>
                <w:rFonts w:hint="eastAsia" w:cs="宋体" w:asciiTheme="majorEastAsia" w:hAnsiTheme="majorEastAsia" w:eastAsiaTheme="majorEastAsia"/>
                <w:szCs w:val="21"/>
              </w:rPr>
              <w:t>关键页（合同关键页应当体现合同当事人名称</w:t>
            </w:r>
            <w:r>
              <w:rPr>
                <w:rFonts w:hint="eastAsia" w:cs="宋体" w:asciiTheme="majorEastAsia" w:hAnsiTheme="majorEastAsia" w:eastAsiaTheme="majorEastAsia"/>
                <w:szCs w:val="21"/>
                <w:lang w:eastAsia="zh-CN"/>
              </w:rPr>
              <w:t>）</w:t>
            </w:r>
            <w:r>
              <w:t>复印件加盖投标人公章，未提供或者提供的资料不符合要求的则不得分</w:t>
            </w:r>
            <w:r>
              <w:rPr>
                <w:rFonts w:hint="default" w:ascii="Times New Roman" w:hAnsi="Times New Roman" w:eastAsia="宋体" w:cs="Times New Roman"/>
                <w:color w:val="auto"/>
                <w:sz w:val="21"/>
                <w:szCs w:val="21"/>
                <w:highlight w:val="none"/>
                <w:lang w:val="en-US" w:eastAsia="zh-CN" w:bidi="ar-SA"/>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38" w:hRule="atLeast"/>
        </w:trPr>
        <w:tc>
          <w:tcPr>
            <w:tcW w:w="1277" w:type="dxa"/>
            <w:vMerge w:val="continue"/>
            <w:tcBorders>
              <w:left w:val="single" w:color="auto" w:sz="4" w:space="0"/>
            </w:tcBorders>
            <w:vAlign w:val="center"/>
          </w:tcPr>
          <w:p>
            <w:pPr>
              <w:spacing w:line="240" w:lineRule="auto"/>
              <w:jc w:val="left"/>
              <w:rPr>
                <w:rFonts w:ascii="Times New Roman" w:hAnsi="Times New Roman" w:cs="Times New Roman"/>
                <w:sz w:val="21"/>
                <w:szCs w:val="21"/>
              </w:rPr>
            </w:pPr>
          </w:p>
        </w:tc>
        <w:tc>
          <w:tcPr>
            <w:tcW w:w="962" w:type="dxa"/>
            <w:tcBorders>
              <w:top w:val="single" w:color="auto" w:sz="4" w:space="0"/>
              <w:bottom w:val="nil"/>
            </w:tcBorders>
            <w:vAlign w:val="center"/>
          </w:tcPr>
          <w:p>
            <w:pPr>
              <w:pStyle w:val="25"/>
              <w:spacing w:line="240" w:lineRule="auto"/>
              <w:jc w:val="left"/>
              <w:rPr>
                <w:rFonts w:hint="default" w:ascii="Times New Roman" w:hAnsi="Times New Roman" w:cs="Times New Roman"/>
                <w:sz w:val="21"/>
                <w:szCs w:val="21"/>
              </w:rPr>
            </w:pPr>
            <w:r>
              <w:rPr>
                <w:rFonts w:hint="eastAsia"/>
                <w:lang w:val="en-US" w:eastAsia="zh-CN"/>
              </w:rPr>
              <w:t>服务保障（8分)</w:t>
            </w:r>
          </w:p>
        </w:tc>
        <w:tc>
          <w:tcPr>
            <w:tcW w:w="7202" w:type="dxa"/>
            <w:tcBorders>
              <w:top w:val="single" w:color="auto" w:sz="4" w:space="0"/>
              <w:bottom w:val="nil"/>
              <w:right w:val="single" w:color="auto" w:sz="4" w:space="0"/>
            </w:tcBorders>
            <w:vAlign w:val="center"/>
          </w:tcPr>
          <w:p>
            <w:pPr>
              <w:pStyle w:val="25"/>
              <w:spacing w:line="240" w:lineRule="auto"/>
              <w:jc w:val="left"/>
            </w:pPr>
            <w:r>
              <w:t>根据投标人为本项目提供服务的车辆维修场地</w:t>
            </w:r>
            <w:r>
              <w:rPr>
                <w:rFonts w:hint="eastAsia"/>
                <w:lang w:eastAsia="zh-CN"/>
              </w:rPr>
              <w:t>及</w:t>
            </w:r>
            <w:r>
              <w:t>维修工位情况进行评分：</w:t>
            </w:r>
          </w:p>
          <w:p>
            <w:pPr>
              <w:pStyle w:val="25"/>
              <w:spacing w:line="240" w:lineRule="auto"/>
              <w:jc w:val="left"/>
              <w:rPr>
                <w:rFonts w:hint="default" w:eastAsiaTheme="minorEastAsia"/>
                <w:lang w:val="en-US" w:eastAsia="zh-CN"/>
              </w:rPr>
            </w:pPr>
            <w:r>
              <w:rPr>
                <w:rFonts w:hint="eastAsia"/>
                <w:lang w:eastAsia="zh-CN"/>
              </w:rPr>
              <w:t>（</w:t>
            </w:r>
            <w:r>
              <w:rPr>
                <w:rFonts w:hint="eastAsia"/>
                <w:lang w:val="en-US" w:eastAsia="zh-CN"/>
              </w:rPr>
              <w:t>1</w:t>
            </w:r>
            <w:r>
              <w:rPr>
                <w:rFonts w:hint="eastAsia"/>
                <w:lang w:eastAsia="zh-CN"/>
              </w:rPr>
              <w:t>）</w:t>
            </w:r>
            <w:r>
              <w:t>车辆维修场地</w:t>
            </w:r>
            <w:r>
              <w:rPr>
                <w:rFonts w:hint="eastAsia"/>
                <w:lang w:eastAsia="zh-CN"/>
              </w:rPr>
              <w:t>距离采购人</w:t>
            </w:r>
            <w:r>
              <w:rPr>
                <w:rFonts w:hint="eastAsia"/>
              </w:rPr>
              <w:t>医院</w:t>
            </w:r>
            <w:r>
              <w:rPr>
                <w:rFonts w:hint="eastAsia"/>
                <w:lang w:eastAsia="zh-CN"/>
              </w:rPr>
              <w:t>方圆</w:t>
            </w:r>
            <w:r>
              <w:rPr>
                <w:rFonts w:hint="eastAsia"/>
                <w:lang w:val="en-US" w:eastAsia="zh-CN"/>
              </w:rPr>
              <w:t>5公里内的得6分，10公里内的得4分</w:t>
            </w:r>
            <w:r>
              <w:t>，本项满分</w:t>
            </w:r>
            <w:r>
              <w:rPr>
                <w:rFonts w:hint="eastAsia"/>
                <w:lang w:val="en-US" w:eastAsia="zh-CN"/>
              </w:rPr>
              <w:t>6</w:t>
            </w:r>
            <w:r>
              <w:t>分</w:t>
            </w:r>
            <w:r>
              <w:rPr>
                <w:rFonts w:hint="eastAsia"/>
                <w:lang w:val="en-US" w:eastAsia="zh-CN"/>
              </w:rPr>
              <w:t>；</w:t>
            </w:r>
          </w:p>
          <w:p>
            <w:pPr>
              <w:pStyle w:val="25"/>
              <w:spacing w:line="240" w:lineRule="auto"/>
              <w:jc w:val="left"/>
            </w:pPr>
            <w:r>
              <w:rPr>
                <w:rFonts w:hint="eastAsia"/>
                <w:lang w:eastAsia="zh-CN"/>
              </w:rPr>
              <w:t>（</w:t>
            </w:r>
            <w:r>
              <w:rPr>
                <w:rFonts w:hint="eastAsia"/>
                <w:lang w:val="en-US" w:eastAsia="zh-CN"/>
              </w:rPr>
              <w:t>2</w:t>
            </w:r>
            <w:r>
              <w:rPr>
                <w:rFonts w:hint="eastAsia"/>
                <w:lang w:eastAsia="zh-CN"/>
              </w:rPr>
              <w:t>）</w:t>
            </w:r>
            <w:r>
              <w:t>车辆维修场地</w:t>
            </w:r>
            <w:r>
              <w:rPr>
                <w:rFonts w:hint="eastAsia"/>
                <w:lang w:eastAsia="zh-CN"/>
              </w:rPr>
              <w:t>的</w:t>
            </w:r>
            <w:r>
              <w:t>维修工位</w:t>
            </w:r>
            <w:r>
              <w:rPr>
                <w:rFonts w:hint="eastAsia"/>
                <w:lang w:eastAsia="zh-CN"/>
              </w:rPr>
              <w:t>在</w:t>
            </w:r>
            <w:r>
              <w:rPr>
                <w:rFonts w:hint="eastAsia"/>
                <w:lang w:val="en-US" w:eastAsia="zh-CN"/>
              </w:rPr>
              <w:t>2个</w:t>
            </w:r>
            <w:r>
              <w:t>的基础上，每增加1个工位</w:t>
            </w:r>
            <w:r>
              <w:rPr>
                <w:rFonts w:hint="eastAsia"/>
                <w:lang w:eastAsia="zh-CN"/>
              </w:rPr>
              <w:t>得</w:t>
            </w:r>
            <w:r>
              <w:rPr>
                <w:rFonts w:hint="eastAsia"/>
                <w:lang w:val="en-US" w:eastAsia="zh-CN"/>
              </w:rPr>
              <w:t>1</w:t>
            </w:r>
            <w:r>
              <w:t>分，本项满分</w:t>
            </w:r>
            <w:r>
              <w:rPr>
                <w:rFonts w:hint="eastAsia"/>
                <w:lang w:val="en-US" w:eastAsia="zh-CN"/>
              </w:rPr>
              <w:t>2</w:t>
            </w:r>
            <w:r>
              <w:t>分。</w:t>
            </w:r>
          </w:p>
          <w:p>
            <w:pPr>
              <w:pStyle w:val="25"/>
              <w:spacing w:line="240" w:lineRule="auto"/>
              <w:jc w:val="left"/>
            </w:pPr>
            <w:r>
              <w:t>注：投标文件中提供车辆维修场地</w:t>
            </w:r>
            <w:r>
              <w:rPr>
                <w:rFonts w:hint="eastAsia"/>
                <w:lang w:eastAsia="zh-CN"/>
              </w:rPr>
              <w:t>距离的的证明文件，以及维修工位现场图片等证明文件</w:t>
            </w:r>
            <w:r>
              <w:t>并加盖投标人公章，未按要求</w:t>
            </w:r>
            <w:r>
              <w:rPr>
                <w:rFonts w:hint="eastAsia"/>
                <w:lang w:eastAsia="zh-CN"/>
              </w:rPr>
              <w:t>提供</w:t>
            </w:r>
            <w:r>
              <w:t>或未提供承诺内容的不得分。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2" w:hRule="atLeast"/>
        </w:trPr>
        <w:tc>
          <w:tcPr>
            <w:tcW w:w="1277" w:type="dxa"/>
            <w:vMerge w:val="continue"/>
            <w:tcBorders>
              <w:left w:val="single" w:color="auto" w:sz="4" w:space="0"/>
              <w:bottom w:val="single" w:color="auto" w:sz="4" w:space="0"/>
            </w:tcBorders>
            <w:vAlign w:val="center"/>
          </w:tcPr>
          <w:p>
            <w:pPr>
              <w:spacing w:line="240" w:lineRule="auto"/>
              <w:jc w:val="left"/>
              <w:rPr>
                <w:rFonts w:ascii="Times New Roman" w:hAnsi="Times New Roman" w:cs="Times New Roman"/>
                <w:sz w:val="21"/>
                <w:szCs w:val="21"/>
              </w:rPr>
            </w:pPr>
          </w:p>
        </w:tc>
        <w:tc>
          <w:tcPr>
            <w:tcW w:w="962" w:type="dxa"/>
            <w:tcBorders>
              <w:top w:val="single" w:color="auto" w:sz="4" w:space="0"/>
              <w:bottom w:val="single" w:color="auto" w:sz="4" w:space="0"/>
            </w:tcBorders>
            <w:vAlign w:val="center"/>
          </w:tcPr>
          <w:p>
            <w:pPr>
              <w:pStyle w:val="25"/>
              <w:spacing w:line="240" w:lineRule="auto"/>
              <w:jc w:val="left"/>
              <w:rPr>
                <w:rFonts w:hint="default" w:ascii="Times New Roman" w:hAnsi="Times New Roman" w:cs="Times New Roman"/>
                <w:sz w:val="21"/>
                <w:szCs w:val="21"/>
              </w:rPr>
            </w:pPr>
            <w:r>
              <w:rPr>
                <w:rFonts w:hint="default"/>
                <w:lang w:val="en-US" w:eastAsia="zh-CN"/>
              </w:rPr>
              <w:t>诚信记录(5分)</w:t>
            </w:r>
          </w:p>
        </w:tc>
        <w:tc>
          <w:tcPr>
            <w:tcW w:w="7202" w:type="dxa"/>
            <w:tcBorders>
              <w:top w:val="single" w:color="auto" w:sz="4" w:space="0"/>
              <w:right w:val="single" w:color="auto" w:sz="4" w:space="0"/>
            </w:tcBorders>
            <w:vAlign w:val="center"/>
          </w:tcPr>
          <w:p>
            <w:pPr>
              <w:pStyle w:val="25"/>
              <w:spacing w:line="240" w:lineRule="auto"/>
              <w:jc w:val="left"/>
            </w:pPr>
            <w:r>
              <w:t>根据《关于加强珠海市政府采购中标人诚信管理有关事项的通知》（珠财采通（</w:t>
            </w:r>
            <w:r>
              <w:rPr>
                <w:rFonts w:hint="eastAsia"/>
              </w:rPr>
              <w:t>〔2022〕</w:t>
            </w:r>
            <w:r>
              <w:t>20号）要求，对中标人的诚信状况（普通失信行为）进行评分，具体计算公式如下：诚信记录评审得分=中标人上一年度诚信记录得分×5%。</w:t>
            </w:r>
          </w:p>
          <w:p>
            <w:pPr>
              <w:pStyle w:val="25"/>
              <w:spacing w:line="240" w:lineRule="auto"/>
              <w:jc w:val="left"/>
              <w:rPr>
                <w:rFonts w:hint="eastAsia" w:ascii="Times New Roman" w:hAnsi="Times New Roman" w:cs="Times New Roman"/>
                <w:sz w:val="21"/>
                <w:szCs w:val="21"/>
                <w:lang w:val="en-US" w:eastAsia="zh-CN"/>
              </w:rPr>
            </w:pPr>
            <w:r>
              <w:t>注：1.采购</w:t>
            </w:r>
            <w:r>
              <w:rPr>
                <w:rFonts w:hint="eastAsia"/>
                <w:lang w:eastAsia="zh-CN"/>
              </w:rPr>
              <w:t>人</w:t>
            </w:r>
            <w:r>
              <w:t>于投标截止时间后，在评审活动开始前，通过广东政府采购网“其他监管检查公告”栏和珠海市财政局网站“信用财政”栏查询投标（响应）中标人的诚信状况（即中标人上一年度的诚信记录得分），提供给评标委员会，由评标委员会根据上述公式进行评审打分。2.首次参加珠海市政府采购活动的中标人诚信管理基础得分为100分，在广东政府采购网“其他监管检查公告”栏和珠海市财政局网站“信用财政”栏查询不到相关中标人扣分记录的，视为该中标人上一年度诚信记录得分为100分。</w:t>
            </w:r>
          </w:p>
        </w:tc>
      </w:tr>
    </w:tbl>
    <w:p>
      <w:pPr>
        <w:spacing w:after="0"/>
        <w:rPr>
          <w:rFonts w:ascii="Times New Roman" w:hAnsi="Times New Roman" w:eastAsia="宋体" w:cs="Times New Roman"/>
          <w:color w:val="auto"/>
          <w:sz w:val="21"/>
          <w:highlight w:val="none"/>
          <w:lang w:val="en-US" w:eastAsia="zh-CN" w:bidi="ar-SA"/>
        </w:rPr>
      </w:pPr>
      <w:r>
        <w:rPr>
          <w:rFonts w:hint="eastAsia" w:ascii="Times New Roman" w:hAnsi="Times New Roman" w:cs="Times New Roman"/>
          <w:color w:val="auto"/>
          <w:sz w:val="21"/>
          <w:szCs w:val="20"/>
          <w:highlight w:val="none"/>
          <w:lang w:val="en-US" w:bidi="ar-SA"/>
        </w:rPr>
        <w:t>备注：评委对各投标文件进行评比后，根据评分方法进行相应地评分。</w:t>
      </w:r>
    </w:p>
    <w:p>
      <w:pPr>
        <w:pStyle w:val="21"/>
        <w:rPr>
          <w:rFonts w:hint="eastAsia" w:ascii="Times New Roman" w:hAnsi="Times New Roman" w:cs="Times New Roman"/>
          <w:color w:val="auto"/>
          <w:sz w:val="21"/>
          <w:szCs w:val="20"/>
          <w:highlight w:val="none"/>
          <w:lang w:val="en-US" w:bidi="ar-SA"/>
        </w:rPr>
      </w:pPr>
    </w:p>
    <w:p>
      <w:pPr>
        <w:pStyle w:val="21"/>
        <w:rPr>
          <w:rFonts w:hint="eastAsia" w:ascii="Times New Roman" w:hAnsi="Times New Roman" w:cs="Times New Roman"/>
          <w:color w:val="auto"/>
          <w:sz w:val="21"/>
          <w:szCs w:val="20"/>
          <w:highlight w:val="none"/>
          <w:lang w:val="en-US" w:bidi="ar-SA"/>
        </w:rPr>
      </w:pPr>
      <w:r>
        <w:rPr>
          <w:rFonts w:hint="eastAsia" w:ascii="Times New Roman" w:hAnsi="Times New Roman" w:cs="Times New Roman"/>
          <w:color w:val="auto"/>
          <w:sz w:val="21"/>
          <w:szCs w:val="20"/>
          <w:highlight w:val="none"/>
          <w:lang w:val="en-US" w:bidi="ar-SA"/>
        </w:rPr>
        <w:t>评委签名：</w:t>
      </w:r>
      <w:r>
        <w:rPr>
          <w:rFonts w:hint="eastAsia" w:ascii="Times New Roman" w:hAnsi="Times New Roman" w:cs="Times New Roman"/>
          <w:color w:val="auto"/>
          <w:sz w:val="21"/>
          <w:szCs w:val="20"/>
          <w:highlight w:val="none"/>
          <w:lang w:val="en-US" w:eastAsia="zh-CN" w:bidi="ar-SA"/>
        </w:rPr>
        <w:t xml:space="preserve">                  </w:t>
      </w:r>
      <w:r>
        <w:rPr>
          <w:rFonts w:hint="eastAsia" w:ascii="Times New Roman" w:hAnsi="Times New Roman" w:cs="Times New Roman"/>
          <w:color w:val="auto"/>
          <w:sz w:val="21"/>
          <w:szCs w:val="20"/>
          <w:highlight w:val="none"/>
          <w:lang w:val="en-US" w:bidi="ar-SA"/>
        </w:rPr>
        <w:t>日期：</w:t>
      </w:r>
    </w:p>
    <w:p>
      <w:pPr>
        <w:pStyle w:val="21"/>
        <w:rPr>
          <w:rFonts w:hint="eastAsia" w:ascii="Times New Roman" w:hAnsi="Times New Roman" w:cs="Times New Roman"/>
          <w:color w:val="auto"/>
          <w:sz w:val="21"/>
          <w:szCs w:val="20"/>
          <w:highlight w:val="none"/>
          <w:lang w:val="en-US" w:bidi="ar-SA"/>
        </w:rPr>
      </w:pPr>
    </w:p>
    <w:p>
      <w:pPr>
        <w:pStyle w:val="21"/>
        <w:rPr>
          <w:rFonts w:hint="eastAsia" w:ascii="Times New Roman" w:hAnsi="Times New Roman" w:cs="Times New Roman"/>
          <w:color w:val="auto"/>
          <w:sz w:val="21"/>
          <w:szCs w:val="20"/>
          <w:highlight w:val="none"/>
          <w:lang w:val="en-US" w:bidi="ar-SA"/>
        </w:rPr>
        <w:sectPr>
          <w:pgSz w:w="11906" w:h="16838"/>
          <w:pgMar w:top="1434" w:right="1474" w:bottom="1434" w:left="1474" w:header="851" w:footer="992" w:gutter="0"/>
          <w:pgNumType w:fmt="decimal"/>
          <w:cols w:space="425" w:num="1"/>
          <w:docGrid w:type="lines" w:linePitch="312" w:charSpace="0"/>
        </w:sectPr>
      </w:pPr>
    </w:p>
    <w:p>
      <w:pPr>
        <w:widowControl/>
        <w:autoSpaceDE/>
        <w:autoSpaceDN/>
        <w:spacing w:before="0" w:after="0" w:line="240" w:lineRule="auto"/>
        <w:ind w:left="0" w:right="0"/>
        <w:jc w:val="left"/>
        <w:rPr>
          <w:rFonts w:ascii="宋体" w:hAnsi="宋体" w:cs="宋体"/>
          <w:b/>
          <w:bCs/>
          <w:color w:val="auto"/>
          <w:sz w:val="24"/>
          <w:szCs w:val="24"/>
          <w:highlight w:val="none"/>
          <w:lang w:val="en-US" w:bidi="ar-SA"/>
        </w:rPr>
      </w:pPr>
      <w:r>
        <w:rPr>
          <w:rFonts w:hint="eastAsia" w:ascii="宋体" w:hAnsi="宋体" w:cs="宋体"/>
          <w:b/>
          <w:bCs/>
          <w:color w:val="auto"/>
          <w:sz w:val="24"/>
          <w:szCs w:val="24"/>
          <w:highlight w:val="none"/>
          <w:lang w:val="en-US" w:bidi="ar-SA"/>
        </w:rPr>
        <w:t>附件</w:t>
      </w:r>
      <w:r>
        <w:rPr>
          <w:rFonts w:ascii="宋体" w:hAnsi="宋体" w:cs="宋体"/>
          <w:b/>
          <w:bCs/>
          <w:color w:val="auto"/>
          <w:sz w:val="24"/>
          <w:szCs w:val="24"/>
          <w:highlight w:val="none"/>
          <w:lang w:val="en-US" w:bidi="ar-SA"/>
        </w:rPr>
        <w:t>3</w:t>
      </w:r>
      <w:r>
        <w:rPr>
          <w:rFonts w:hint="eastAsia" w:ascii="宋体" w:hAnsi="宋体" w:cs="宋体"/>
          <w:b/>
          <w:bCs/>
          <w:color w:val="auto"/>
          <w:sz w:val="24"/>
          <w:szCs w:val="24"/>
          <w:highlight w:val="none"/>
          <w:lang w:val="en-US" w:bidi="ar-SA"/>
        </w:rPr>
        <w:t>：投标报价评分细则（满分</w:t>
      </w:r>
      <w:r>
        <w:rPr>
          <w:rFonts w:hint="eastAsia" w:cs="宋体"/>
          <w:b/>
          <w:bCs/>
          <w:color w:val="auto"/>
          <w:sz w:val="24"/>
          <w:szCs w:val="24"/>
          <w:highlight w:val="none"/>
          <w:lang w:val="en-US" w:eastAsia="zh-CN" w:bidi="ar-SA"/>
        </w:rPr>
        <w:t>4</w:t>
      </w:r>
      <w:r>
        <w:rPr>
          <w:rFonts w:hint="eastAsia" w:ascii="宋体" w:hAnsi="宋体" w:cs="宋体"/>
          <w:b/>
          <w:bCs/>
          <w:color w:val="auto"/>
          <w:sz w:val="24"/>
          <w:szCs w:val="24"/>
          <w:highlight w:val="none"/>
          <w:lang w:val="en-US" w:bidi="ar-SA"/>
        </w:rPr>
        <w:t>0分）</w:t>
      </w:r>
    </w:p>
    <w:tbl>
      <w:tblPr>
        <w:tblStyle w:val="16"/>
        <w:tblW w:w="9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1067"/>
        <w:gridCol w:w="8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1274" w:hRule="atLeast"/>
          <w:jc w:val="center"/>
        </w:trPr>
        <w:tc>
          <w:tcPr>
            <w:tcW w:w="1067" w:type="dxa"/>
            <w:tcMar>
              <w:top w:w="0" w:type="dxa"/>
              <w:left w:w="108" w:type="dxa"/>
              <w:bottom w:w="0" w:type="dxa"/>
              <w:right w:w="108"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价格部分</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w:t>
            </w:r>
            <w:r>
              <w:rPr>
                <w:rFonts w:hint="eastAsia" w:cs="宋体"/>
                <w:color w:val="auto"/>
                <w:sz w:val="20"/>
                <w:szCs w:val="20"/>
                <w:highlight w:val="none"/>
                <w:lang w:val="en-US" w:eastAsia="zh-CN" w:bidi="ar-SA"/>
              </w:rPr>
              <w:t>4</w:t>
            </w:r>
            <w:r>
              <w:rPr>
                <w:rFonts w:hint="eastAsia" w:ascii="宋体" w:hAnsi="宋体" w:cs="宋体"/>
                <w:color w:val="auto"/>
                <w:sz w:val="20"/>
                <w:szCs w:val="20"/>
                <w:highlight w:val="none"/>
                <w:lang w:val="en-US" w:bidi="ar-SA"/>
              </w:rPr>
              <w:t>0分）</w:t>
            </w:r>
          </w:p>
        </w:tc>
        <w:tc>
          <w:tcPr>
            <w:tcW w:w="8268" w:type="dxa"/>
            <w:tcMar>
              <w:top w:w="0" w:type="dxa"/>
              <w:left w:w="108" w:type="dxa"/>
              <w:bottom w:w="0" w:type="dxa"/>
              <w:right w:w="108"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报价得分采用低价优先法计算，即满足采购文件要求且投标价格最低的投标报价为评标基准价，其投标报价得分为满分。其他投标人的投标报价得分统一按照下列公式计算：投标报价得分=（评标基准价/投标报价）×报价权重×100。</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备注：投标报价得分四舍五入后，小数点后保留两位有效数。</w:t>
            </w:r>
          </w:p>
        </w:tc>
      </w:tr>
    </w:tbl>
    <w:p>
      <w:pPr>
        <w:pStyle w:val="21"/>
        <w:rPr>
          <w:rFonts w:hint="eastAsia" w:ascii="Times New Roman" w:hAnsi="Times New Roman" w:cs="Times New Roman"/>
          <w:color w:val="auto"/>
          <w:sz w:val="21"/>
          <w:szCs w:val="20"/>
          <w:highlight w:val="none"/>
          <w:lang w:val="en-US" w:bidi="ar-SA"/>
        </w:rPr>
      </w:pPr>
    </w:p>
    <w:p>
      <w:pPr>
        <w:pStyle w:val="21"/>
        <w:rPr>
          <w:rFonts w:hint="eastAsia" w:ascii="Times New Roman" w:hAnsi="Times New Roman" w:cs="Times New Roman"/>
          <w:color w:val="auto"/>
          <w:sz w:val="21"/>
          <w:szCs w:val="20"/>
          <w:highlight w:val="none"/>
          <w:lang w:val="en-US" w:bidi="ar-SA"/>
        </w:rPr>
      </w:pPr>
    </w:p>
    <w:p>
      <w:pPr>
        <w:pStyle w:val="21"/>
        <w:rPr>
          <w:rFonts w:hint="eastAsia" w:ascii="Times New Roman" w:hAnsi="Times New Roman" w:cs="Times New Roman"/>
          <w:color w:val="auto"/>
          <w:sz w:val="21"/>
          <w:szCs w:val="20"/>
          <w:highlight w:val="none"/>
          <w:lang w:val="en-US" w:bidi="ar-SA"/>
        </w:rPr>
      </w:pPr>
    </w:p>
    <w:p>
      <w:pPr>
        <w:pStyle w:val="21"/>
        <w:rPr>
          <w:rFonts w:hint="eastAsia" w:ascii="Times New Roman" w:hAnsi="Times New Roman" w:cs="Times New Roman"/>
          <w:color w:val="auto"/>
          <w:sz w:val="21"/>
          <w:szCs w:val="20"/>
          <w:highlight w:val="none"/>
          <w:lang w:val="en-US" w:bidi="ar-SA"/>
        </w:rPr>
        <w:sectPr>
          <w:pgSz w:w="11906" w:h="16838"/>
          <w:pgMar w:top="1434" w:right="1474" w:bottom="1434" w:left="1474" w:header="851" w:footer="992" w:gutter="0"/>
          <w:pgNumType w:fmt="decimal"/>
          <w:cols w:space="425" w:num="1"/>
          <w:docGrid w:type="lines" w:linePitch="312" w:charSpace="0"/>
        </w:sectPr>
      </w:pPr>
    </w:p>
    <w:p>
      <w:pPr>
        <w:pStyle w:val="2"/>
        <w:rPr>
          <w:rFonts w:hint="eastAsia"/>
          <w:lang w:val="en-US"/>
        </w:rPr>
      </w:pPr>
    </w:p>
    <w:p>
      <w:pPr>
        <w:spacing w:line="360" w:lineRule="auto"/>
        <w:jc w:val="center"/>
        <w:rPr>
          <w:rFonts w:hint="eastAsia" w:ascii="宋体" w:hAnsi="宋体" w:eastAsia="宋体" w:cs="宋体"/>
          <w:b/>
          <w:kern w:val="28"/>
          <w:sz w:val="36"/>
          <w:szCs w:val="36"/>
          <w:lang w:val="en-US" w:eastAsia="zh-CN"/>
        </w:rPr>
      </w:pPr>
      <w:r>
        <w:rPr>
          <w:rFonts w:hint="eastAsia" w:ascii="宋体" w:hAnsi="宋体" w:eastAsia="宋体" w:cs="宋体"/>
          <w:b/>
          <w:kern w:val="28"/>
          <w:sz w:val="36"/>
          <w:szCs w:val="36"/>
          <w:lang w:val="en-US" w:eastAsia="zh-CN"/>
        </w:rPr>
        <w:t>第</w:t>
      </w:r>
      <w:r>
        <w:rPr>
          <w:rFonts w:hint="eastAsia" w:cs="宋体"/>
          <w:b/>
          <w:kern w:val="28"/>
          <w:sz w:val="36"/>
          <w:szCs w:val="36"/>
          <w:lang w:val="en-US" w:eastAsia="zh-CN"/>
        </w:rPr>
        <w:t>五</w:t>
      </w:r>
      <w:r>
        <w:rPr>
          <w:rFonts w:hint="eastAsia" w:ascii="宋体" w:hAnsi="宋体" w:eastAsia="宋体" w:cs="宋体"/>
          <w:b/>
          <w:kern w:val="28"/>
          <w:sz w:val="36"/>
          <w:szCs w:val="36"/>
          <w:lang w:val="en-US" w:eastAsia="zh-CN"/>
        </w:rPr>
        <w:t>部分  投标文件格式（参考）</w:t>
      </w:r>
    </w:p>
    <w:p>
      <w:pPr>
        <w:pStyle w:val="3"/>
        <w:spacing w:line="360" w:lineRule="auto"/>
        <w:ind w:firstLine="1079" w:firstLineChars="448"/>
        <w:jc w:val="center"/>
        <w:rPr>
          <w:rFonts w:hint="eastAsia" w:hAnsi="宋体" w:cs="宋体"/>
          <w:b/>
          <w:kern w:val="2"/>
          <w:sz w:val="24"/>
          <w:szCs w:val="28"/>
        </w:rPr>
      </w:pPr>
    </w:p>
    <w:p>
      <w:pPr>
        <w:pStyle w:val="3"/>
        <w:tabs>
          <w:tab w:val="left" w:pos="1260"/>
        </w:tabs>
        <w:jc w:val="center"/>
        <w:rPr>
          <w:rFonts w:hint="eastAsia" w:hAnsi="宋体" w:cs="宋体"/>
          <w:b/>
          <w:spacing w:val="100"/>
          <w:w w:val="110"/>
          <w:sz w:val="40"/>
          <w:szCs w:val="44"/>
          <w:u w:val="single"/>
        </w:rPr>
      </w:pPr>
    </w:p>
    <w:p>
      <w:pPr>
        <w:pStyle w:val="3"/>
        <w:tabs>
          <w:tab w:val="left" w:pos="1260"/>
        </w:tabs>
        <w:jc w:val="center"/>
        <w:rPr>
          <w:rFonts w:hint="eastAsia" w:hAnsi="宋体" w:cs="宋体"/>
          <w:b/>
          <w:spacing w:val="100"/>
          <w:w w:val="110"/>
          <w:sz w:val="40"/>
          <w:szCs w:val="44"/>
        </w:rPr>
      </w:pPr>
      <w:bookmarkStart w:id="7" w:name="_Toc23416"/>
      <w:r>
        <w:rPr>
          <w:rFonts w:hint="eastAsia" w:hAnsi="宋体" w:cs="宋体"/>
          <w:b/>
          <w:spacing w:val="100"/>
          <w:w w:val="110"/>
          <w:sz w:val="40"/>
          <w:szCs w:val="44"/>
          <w:u w:val="single"/>
        </w:rPr>
        <w:t>（项目名称）</w:t>
      </w:r>
      <w:bookmarkEnd w:id="7"/>
    </w:p>
    <w:p>
      <w:pPr>
        <w:pStyle w:val="3"/>
        <w:jc w:val="center"/>
        <w:rPr>
          <w:rFonts w:hint="eastAsia" w:hAnsi="宋体" w:cs="宋体"/>
          <w:b/>
          <w:sz w:val="40"/>
          <w:szCs w:val="44"/>
        </w:rPr>
      </w:pPr>
      <w:bookmarkStart w:id="8" w:name="_Toc26042"/>
      <w:bookmarkStart w:id="9" w:name="_Toc11453"/>
      <w:r>
        <w:rPr>
          <w:rFonts w:hint="eastAsia" w:hAnsi="宋体" w:cs="宋体"/>
          <w:b/>
          <w:sz w:val="24"/>
          <w:szCs w:val="28"/>
        </w:rPr>
        <w:t>（</w:t>
      </w:r>
      <w:r>
        <w:rPr>
          <w:rFonts w:hint="eastAsia" w:hAnsi="宋体" w:cs="宋体"/>
          <w:b/>
          <w:kern w:val="2"/>
          <w:sz w:val="24"/>
          <w:szCs w:val="28"/>
        </w:rPr>
        <w:t>封面仅供参考</w:t>
      </w:r>
      <w:r>
        <w:rPr>
          <w:rFonts w:hint="eastAsia" w:hAnsi="宋体" w:cs="宋体"/>
          <w:b/>
          <w:sz w:val="24"/>
          <w:szCs w:val="28"/>
        </w:rPr>
        <w:t>）</w:t>
      </w:r>
      <w:bookmarkEnd w:id="8"/>
      <w:bookmarkEnd w:id="9"/>
    </w:p>
    <w:p>
      <w:pPr>
        <w:pStyle w:val="3"/>
        <w:jc w:val="center"/>
        <w:rPr>
          <w:rFonts w:hint="eastAsia" w:hAnsi="宋体" w:cs="宋体"/>
          <w:b/>
          <w:sz w:val="40"/>
          <w:szCs w:val="44"/>
        </w:rPr>
      </w:pPr>
    </w:p>
    <w:p>
      <w:pPr>
        <w:pStyle w:val="3"/>
        <w:jc w:val="center"/>
        <w:rPr>
          <w:rFonts w:hint="eastAsia" w:hAnsi="宋体" w:cs="宋体"/>
          <w:b/>
          <w:sz w:val="40"/>
          <w:szCs w:val="44"/>
        </w:rPr>
      </w:pPr>
    </w:p>
    <w:p>
      <w:pPr>
        <w:pStyle w:val="3"/>
        <w:tabs>
          <w:tab w:val="left" w:pos="1260"/>
        </w:tabs>
        <w:jc w:val="center"/>
        <w:rPr>
          <w:rFonts w:hint="eastAsia" w:hAnsi="宋体" w:cs="宋体"/>
          <w:b/>
          <w:spacing w:val="100"/>
          <w:w w:val="110"/>
          <w:sz w:val="40"/>
          <w:szCs w:val="44"/>
        </w:rPr>
      </w:pPr>
      <w:bookmarkStart w:id="10" w:name="_Toc16706"/>
      <w:r>
        <w:rPr>
          <w:rFonts w:hint="eastAsia" w:hAnsi="宋体" w:cs="宋体"/>
          <w:b/>
          <w:spacing w:val="100"/>
          <w:w w:val="110"/>
          <w:sz w:val="40"/>
          <w:szCs w:val="44"/>
        </w:rPr>
        <w:t>投标文件</w:t>
      </w:r>
      <w:bookmarkEnd w:id="10"/>
    </w:p>
    <w:p>
      <w:pPr>
        <w:pStyle w:val="3"/>
        <w:jc w:val="center"/>
        <w:rPr>
          <w:rFonts w:hint="eastAsia" w:hAnsi="宋体" w:cs="宋体"/>
          <w:b/>
          <w:sz w:val="40"/>
          <w:szCs w:val="44"/>
        </w:rPr>
      </w:pPr>
      <w:bookmarkStart w:id="11" w:name="_Toc32101"/>
      <w:r>
        <w:rPr>
          <w:rFonts w:hint="eastAsia" w:hAnsi="宋体" w:cs="宋体"/>
          <w:b/>
          <w:sz w:val="40"/>
          <w:szCs w:val="44"/>
        </w:rPr>
        <w:t>（正本/副本）</w:t>
      </w:r>
      <w:bookmarkEnd w:id="11"/>
    </w:p>
    <w:p>
      <w:pPr>
        <w:pStyle w:val="3"/>
        <w:jc w:val="center"/>
        <w:rPr>
          <w:rFonts w:hint="eastAsia" w:hAnsi="宋体" w:cs="宋体"/>
          <w:b/>
          <w:sz w:val="40"/>
          <w:szCs w:val="44"/>
        </w:rPr>
      </w:pPr>
    </w:p>
    <w:p>
      <w:pPr>
        <w:pStyle w:val="3"/>
        <w:jc w:val="center"/>
        <w:rPr>
          <w:rFonts w:hint="eastAsia" w:hAnsi="宋体" w:cs="宋体"/>
          <w:b/>
          <w:sz w:val="40"/>
          <w:szCs w:val="44"/>
        </w:rPr>
      </w:pPr>
    </w:p>
    <w:p>
      <w:pPr>
        <w:pStyle w:val="3"/>
        <w:jc w:val="center"/>
        <w:rPr>
          <w:rFonts w:hint="eastAsia" w:hAnsi="宋体" w:cs="宋体"/>
          <w:b/>
          <w:sz w:val="40"/>
          <w:szCs w:val="44"/>
        </w:rPr>
      </w:pPr>
    </w:p>
    <w:p>
      <w:pPr>
        <w:pStyle w:val="3"/>
        <w:jc w:val="center"/>
        <w:rPr>
          <w:rFonts w:hint="eastAsia" w:hAnsi="宋体" w:cs="宋体"/>
          <w:b/>
          <w:sz w:val="40"/>
          <w:szCs w:val="44"/>
        </w:rPr>
      </w:pPr>
    </w:p>
    <w:p>
      <w:pPr>
        <w:pStyle w:val="3"/>
        <w:jc w:val="center"/>
        <w:rPr>
          <w:rFonts w:hint="eastAsia" w:hAnsi="宋体" w:cs="宋体"/>
          <w:b/>
          <w:sz w:val="40"/>
          <w:szCs w:val="44"/>
        </w:rPr>
      </w:pPr>
    </w:p>
    <w:p>
      <w:pPr>
        <w:pStyle w:val="3"/>
        <w:spacing w:line="360" w:lineRule="auto"/>
        <w:ind w:firstLine="1079" w:firstLineChars="448"/>
        <w:rPr>
          <w:rFonts w:hint="eastAsia" w:hAnsi="宋体" w:cs="宋体"/>
          <w:b/>
          <w:sz w:val="24"/>
          <w:szCs w:val="28"/>
          <w:u w:val="thick"/>
        </w:rPr>
      </w:pPr>
      <w:bookmarkStart w:id="12" w:name="_Toc15848"/>
      <w:bookmarkStart w:id="13" w:name="_Toc30247"/>
      <w:r>
        <w:rPr>
          <w:rFonts w:hint="eastAsia" w:hAnsi="宋体" w:cs="宋体"/>
          <w:b/>
          <w:sz w:val="24"/>
          <w:szCs w:val="28"/>
        </w:rPr>
        <w:t>项目编号：</w:t>
      </w:r>
      <w:bookmarkEnd w:id="12"/>
      <w:bookmarkEnd w:id="13"/>
      <w:r>
        <w:rPr>
          <w:rFonts w:hint="eastAsia" w:hAnsi="宋体" w:cs="宋体"/>
          <w:b/>
          <w:sz w:val="24"/>
          <w:szCs w:val="28"/>
          <w:u w:val="thick"/>
        </w:rPr>
        <w:t xml:space="preserve">                       </w:t>
      </w:r>
    </w:p>
    <w:p>
      <w:pPr>
        <w:pStyle w:val="3"/>
        <w:spacing w:line="360" w:lineRule="auto"/>
        <w:ind w:firstLine="1079" w:firstLineChars="448"/>
        <w:rPr>
          <w:rFonts w:hint="eastAsia" w:hAnsi="宋体" w:cs="宋体"/>
          <w:b/>
          <w:sz w:val="24"/>
          <w:szCs w:val="28"/>
          <w:u w:val="single"/>
        </w:rPr>
      </w:pPr>
      <w:bookmarkStart w:id="14" w:name="_Toc32471"/>
      <w:bookmarkStart w:id="15" w:name="_Toc14520"/>
      <w:r>
        <w:rPr>
          <w:rFonts w:hint="eastAsia" w:hAnsi="宋体" w:cs="宋体"/>
          <w:b/>
          <w:sz w:val="24"/>
          <w:szCs w:val="28"/>
        </w:rPr>
        <w:t>项目名称：</w:t>
      </w:r>
      <w:bookmarkEnd w:id="14"/>
      <w:bookmarkEnd w:id="15"/>
      <w:r>
        <w:rPr>
          <w:rFonts w:hint="eastAsia" w:hAnsi="宋体" w:cs="宋体"/>
          <w:b/>
          <w:sz w:val="24"/>
          <w:szCs w:val="28"/>
          <w:u w:val="single"/>
        </w:rPr>
        <w:t xml:space="preserve">                       </w:t>
      </w:r>
    </w:p>
    <w:p>
      <w:pPr>
        <w:pStyle w:val="3"/>
        <w:ind w:firstLine="1234" w:firstLineChars="512"/>
        <w:rPr>
          <w:rFonts w:hint="eastAsia" w:hAnsi="宋体" w:cs="宋体"/>
          <w:b/>
          <w:sz w:val="24"/>
          <w:szCs w:val="28"/>
        </w:rPr>
      </w:pPr>
    </w:p>
    <w:p>
      <w:pPr>
        <w:pStyle w:val="3"/>
        <w:ind w:firstLine="2056" w:firstLineChars="512"/>
        <w:rPr>
          <w:rFonts w:hint="eastAsia" w:hAnsi="宋体" w:cs="宋体"/>
          <w:b/>
          <w:sz w:val="40"/>
          <w:szCs w:val="44"/>
        </w:rPr>
      </w:pPr>
    </w:p>
    <w:p>
      <w:pPr>
        <w:pStyle w:val="3"/>
        <w:ind w:firstLine="2056" w:firstLineChars="512"/>
        <w:rPr>
          <w:rFonts w:hint="eastAsia" w:hAnsi="宋体" w:cs="宋体"/>
          <w:b/>
          <w:sz w:val="40"/>
          <w:szCs w:val="44"/>
        </w:rPr>
      </w:pPr>
    </w:p>
    <w:p>
      <w:pPr>
        <w:pStyle w:val="3"/>
        <w:ind w:firstLine="2056" w:firstLineChars="512"/>
        <w:rPr>
          <w:rFonts w:hint="eastAsia" w:hAnsi="宋体" w:cs="宋体"/>
          <w:b/>
          <w:sz w:val="40"/>
          <w:szCs w:val="44"/>
        </w:rPr>
      </w:pPr>
    </w:p>
    <w:p>
      <w:pPr>
        <w:pStyle w:val="3"/>
        <w:ind w:firstLine="2056" w:firstLineChars="512"/>
        <w:rPr>
          <w:rFonts w:hint="eastAsia" w:hAnsi="宋体" w:cs="宋体"/>
          <w:b/>
          <w:sz w:val="40"/>
          <w:szCs w:val="44"/>
        </w:rPr>
      </w:pPr>
    </w:p>
    <w:p>
      <w:pPr>
        <w:pStyle w:val="3"/>
        <w:spacing w:line="360" w:lineRule="auto"/>
        <w:ind w:firstLine="1234" w:firstLineChars="512"/>
        <w:rPr>
          <w:rFonts w:hint="eastAsia" w:hAnsi="宋体" w:cs="宋体"/>
          <w:b/>
          <w:sz w:val="24"/>
          <w:szCs w:val="28"/>
          <w:u w:val="single"/>
        </w:rPr>
      </w:pPr>
      <w:bookmarkStart w:id="16" w:name="_Toc14406"/>
      <w:bookmarkStart w:id="17" w:name="_Toc14647"/>
      <w:r>
        <w:rPr>
          <w:rFonts w:hint="eastAsia" w:hAnsi="宋体" w:cs="宋体"/>
          <w:b/>
          <w:sz w:val="24"/>
          <w:szCs w:val="28"/>
        </w:rPr>
        <w:t>投标人名称（盖章）：</w:t>
      </w:r>
      <w:bookmarkEnd w:id="16"/>
      <w:bookmarkEnd w:id="17"/>
      <w:r>
        <w:rPr>
          <w:rFonts w:hint="eastAsia" w:hAnsi="宋体" w:cs="宋体"/>
          <w:b/>
          <w:sz w:val="24"/>
          <w:szCs w:val="28"/>
          <w:u w:val="single"/>
        </w:rPr>
        <w:t xml:space="preserve">                          </w:t>
      </w:r>
    </w:p>
    <w:p>
      <w:pPr>
        <w:autoSpaceDE w:val="0"/>
        <w:autoSpaceDN w:val="0"/>
        <w:spacing w:line="240" w:lineRule="atLeast"/>
        <w:ind w:firstLine="1234" w:firstLineChars="512"/>
        <w:rPr>
          <w:rFonts w:hint="eastAsia" w:ascii="宋体" w:hAnsi="宋体" w:cs="宋体"/>
          <w:b/>
          <w:sz w:val="24"/>
          <w:szCs w:val="28"/>
          <w:u w:val="single"/>
        </w:rPr>
      </w:pPr>
      <w:bookmarkStart w:id="18" w:name="_Toc4787"/>
      <w:bookmarkStart w:id="19" w:name="_Toc30455"/>
      <w:r>
        <w:rPr>
          <w:rFonts w:hint="eastAsia" w:ascii="宋体" w:hAnsi="宋体" w:cs="宋体"/>
          <w:b/>
          <w:sz w:val="24"/>
          <w:szCs w:val="28"/>
        </w:rPr>
        <w:t>日      期：</w:t>
      </w:r>
      <w:r>
        <w:rPr>
          <w:rFonts w:hint="eastAsia" w:ascii="宋体" w:hAnsi="宋体" w:cs="宋体"/>
          <w:b/>
          <w:sz w:val="24"/>
          <w:szCs w:val="28"/>
          <w:u w:val="single"/>
        </w:rPr>
        <w:t xml:space="preserve">          </w:t>
      </w:r>
      <w:r>
        <w:rPr>
          <w:rFonts w:hint="eastAsia" w:ascii="宋体" w:hAnsi="宋体" w:cs="宋体"/>
          <w:b/>
          <w:sz w:val="24"/>
          <w:szCs w:val="28"/>
        </w:rPr>
        <w:t>年</w:t>
      </w:r>
      <w:r>
        <w:rPr>
          <w:rFonts w:hint="eastAsia" w:ascii="宋体" w:hAnsi="宋体" w:cs="宋体"/>
          <w:b/>
          <w:sz w:val="24"/>
          <w:szCs w:val="28"/>
          <w:u w:val="single"/>
        </w:rPr>
        <w:t xml:space="preserve">     </w:t>
      </w:r>
      <w:r>
        <w:rPr>
          <w:rFonts w:hint="eastAsia" w:ascii="宋体" w:hAnsi="宋体" w:cs="宋体"/>
          <w:b/>
          <w:sz w:val="24"/>
          <w:szCs w:val="28"/>
        </w:rPr>
        <w:t>月</w:t>
      </w:r>
      <w:r>
        <w:rPr>
          <w:rFonts w:hint="eastAsia" w:ascii="宋体" w:hAnsi="宋体" w:cs="宋体"/>
          <w:b/>
          <w:sz w:val="24"/>
          <w:szCs w:val="28"/>
          <w:u w:val="single"/>
        </w:rPr>
        <w:t xml:space="preserve">     </w:t>
      </w:r>
      <w:r>
        <w:rPr>
          <w:rFonts w:hint="eastAsia" w:ascii="宋体" w:hAnsi="宋体" w:cs="宋体"/>
          <w:b/>
          <w:sz w:val="24"/>
          <w:szCs w:val="28"/>
        </w:rPr>
        <w:t>日</w:t>
      </w:r>
      <w:bookmarkEnd w:id="18"/>
      <w:bookmarkEnd w:id="19"/>
    </w:p>
    <w:p>
      <w:pPr>
        <w:rPr>
          <w:rFonts w:hint="eastAsia" w:ascii="宋体" w:hAnsi="宋体" w:cs="宋体"/>
          <w:sz w:val="44"/>
          <w:szCs w:val="44"/>
        </w:rPr>
      </w:pPr>
    </w:p>
    <w:p>
      <w:pPr>
        <w:widowControl/>
        <w:autoSpaceDE w:val="0"/>
        <w:autoSpaceDN w:val="0"/>
        <w:adjustRightInd w:val="0"/>
        <w:snapToGrid w:val="0"/>
        <w:spacing w:before="0" w:after="0" w:line="360" w:lineRule="auto"/>
        <w:ind w:left="0" w:right="0"/>
        <w:jc w:val="center"/>
        <w:rPr>
          <w:rFonts w:hint="eastAsia" w:ascii="宋体" w:hAnsi="宋体" w:cs="Times New Roman"/>
          <w:b/>
          <w:color w:val="auto"/>
          <w:sz w:val="28"/>
          <w:szCs w:val="28"/>
          <w:highlight w:val="none"/>
          <w:lang w:val="en-US" w:bidi="ar-SA"/>
        </w:rPr>
      </w:pPr>
      <w:r>
        <w:rPr>
          <w:rFonts w:hint="eastAsia" w:ascii="宋体" w:hAnsi="宋体" w:cs="宋体"/>
        </w:rPr>
        <w:br w:type="page"/>
      </w:r>
      <w:bookmarkStart w:id="20" w:name="_Toc202251704"/>
      <w:bookmarkStart w:id="21" w:name="_Toc202251079"/>
      <w:bookmarkStart w:id="22" w:name="_Toc21657"/>
      <w:bookmarkStart w:id="23" w:name="_Toc202254110"/>
      <w:bookmarkStart w:id="24" w:name="_Toc202817002"/>
      <w:bookmarkStart w:id="25" w:name="_Toc22728"/>
      <w:bookmarkStart w:id="26" w:name="_Toc202252039"/>
      <w:bookmarkStart w:id="27" w:name="_Toc202819884"/>
      <w:bookmarkStart w:id="28" w:name="_Toc3272"/>
      <w:bookmarkStart w:id="29" w:name="_Toc202820357"/>
      <w:bookmarkStart w:id="30" w:name="_Toc20229"/>
    </w:p>
    <w:p>
      <w:pPr>
        <w:widowControl w:val="0"/>
        <w:spacing w:line="240" w:lineRule="auto"/>
        <w:ind w:firstLine="0" w:firstLineChars="0"/>
        <w:jc w:val="both"/>
        <w:rPr>
          <w:rFonts w:ascii="Calibri" w:hAnsi="Calibri" w:eastAsia="宋体" w:cs="Times New Roman"/>
          <w:b/>
          <w:color w:val="auto"/>
          <w:sz w:val="28"/>
          <w:highlight w:val="none"/>
          <w:lang w:val="en-US" w:eastAsia="zh-CN" w:bidi="ar-SA"/>
        </w:rPr>
      </w:pPr>
      <w:bookmarkStart w:id="31" w:name="_Toc202251074"/>
      <w:bookmarkStart w:id="32" w:name="_Toc202820350"/>
      <w:bookmarkStart w:id="33" w:name="_Toc202251699"/>
      <w:bookmarkStart w:id="34" w:name="_Toc202254104"/>
      <w:bookmarkStart w:id="35" w:name="_Toc202252033"/>
      <w:bookmarkStart w:id="36" w:name="_Toc202819877"/>
      <w:bookmarkStart w:id="37" w:name="_Toc202816995"/>
      <w:r>
        <w:rPr>
          <w:rFonts w:hint="eastAsia" w:ascii="Calibri" w:hAnsi="Calibri" w:eastAsia="宋体" w:cs="Times New Roman"/>
          <w:b/>
          <w:color w:val="auto"/>
          <w:sz w:val="28"/>
          <w:highlight w:val="none"/>
          <w:lang w:val="en-US" w:eastAsia="zh-CN" w:bidi="ar-SA"/>
        </w:rPr>
        <w:t>一、自查表</w:t>
      </w:r>
      <w:bookmarkEnd w:id="31"/>
      <w:bookmarkEnd w:id="32"/>
      <w:bookmarkEnd w:id="33"/>
      <w:bookmarkEnd w:id="34"/>
      <w:bookmarkEnd w:id="35"/>
      <w:bookmarkEnd w:id="36"/>
      <w:bookmarkEnd w:id="37"/>
    </w:p>
    <w:p>
      <w:pPr>
        <w:widowControl w:val="0"/>
        <w:spacing w:after="0" w:line="360" w:lineRule="auto"/>
        <w:jc w:val="center"/>
        <w:rPr>
          <w:rFonts w:ascii="宋体" w:hAnsi="宋体" w:eastAsia="宋体" w:cs="宋体"/>
          <w:b/>
          <w:color w:val="auto"/>
          <w:kern w:val="2"/>
          <w:sz w:val="24"/>
          <w:szCs w:val="24"/>
          <w:highlight w:val="none"/>
          <w:lang w:val="en-US" w:eastAsia="zh-CN" w:bidi="ar-SA"/>
        </w:rPr>
      </w:pPr>
      <w:r>
        <w:rPr>
          <w:rFonts w:hint="eastAsia" w:cs="宋体"/>
          <w:b/>
          <w:color w:val="auto"/>
          <w:kern w:val="2"/>
          <w:sz w:val="24"/>
          <w:szCs w:val="24"/>
          <w:highlight w:val="none"/>
          <w:lang w:val="en-US" w:eastAsia="zh-CN" w:bidi="ar-SA"/>
        </w:rPr>
        <w:t>1.1</w:t>
      </w:r>
      <w:r>
        <w:rPr>
          <w:rFonts w:hint="eastAsia" w:ascii="宋体" w:hAnsi="宋体" w:eastAsia="宋体" w:cs="宋体"/>
          <w:b/>
          <w:color w:val="auto"/>
          <w:kern w:val="2"/>
          <w:sz w:val="24"/>
          <w:szCs w:val="24"/>
          <w:highlight w:val="none"/>
          <w:lang w:val="en-US" w:eastAsia="zh-CN" w:bidi="ar-SA"/>
        </w:rPr>
        <w:t>资格性、符合性自查表</w:t>
      </w:r>
    </w:p>
    <w:tbl>
      <w:tblPr>
        <w:tblStyle w:val="16"/>
        <w:tblW w:w="9857" w:type="dxa"/>
        <w:tblInd w:w="-28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560"/>
        <w:gridCol w:w="7113"/>
        <w:gridCol w:w="1033"/>
        <w:gridCol w:w="11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29"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序号</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审查内容</w:t>
            </w:r>
          </w:p>
        </w:tc>
        <w:tc>
          <w:tcPr>
            <w:tcW w:w="1033" w:type="dxa"/>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自查结论</w:t>
            </w:r>
          </w:p>
        </w:tc>
        <w:tc>
          <w:tcPr>
            <w:tcW w:w="1151" w:type="dxa"/>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1</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符合《中华人民共和国政府采购法》第二十二条规定的条件。</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（2）有依法缴纳税收和社会保障资金的良好记录：提供《投标人资格声明函》。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（3）具有良好的商业信誉和健全的财务会计制度：提供《投标人资格声明函》。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（4）履行合同所必需的设备和专业技术能力：提供《投标人资格声明函》。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（5）参加采购活动前3年内，在经营活动中没有重大违法记录：提供《投标人资格声明函》。</w:t>
            </w:r>
          </w:p>
        </w:tc>
        <w:tc>
          <w:tcPr>
            <w:tcW w:w="1033" w:type="dxa"/>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□通过</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w:t>
            </w:r>
          </w:p>
        </w:tc>
        <w:tc>
          <w:tcPr>
            <w:tcW w:w="1151" w:type="dxa"/>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2</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本项目专门面向中小企业采购，供应商应为中小微企业、监狱企业、残疾人福利性单位。（提供《中小企业声明函》或属于监狱企业的证明材料或《残疾人福利性单位声明函》）</w:t>
            </w:r>
          </w:p>
        </w:tc>
        <w:tc>
          <w:tcPr>
            <w:tcW w:w="1033" w:type="dxa"/>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□通过</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w:t>
            </w:r>
          </w:p>
        </w:tc>
        <w:tc>
          <w:tcPr>
            <w:tcW w:w="1151" w:type="dxa"/>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供应商未列入“信用中国”网站(www.creditchina.gov.cn)“记录失信被执行人或重大税收违法案件当事人名单或政府采购严重违法失信行为”的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033" w:type="dxa"/>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□通过</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w:t>
            </w:r>
          </w:p>
        </w:tc>
        <w:tc>
          <w:tcPr>
            <w:tcW w:w="1151" w:type="dxa"/>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4</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单位负责人为同一人或者存在直接控股、管理关系的不同供应商，不得同时参加本采购项目投标（响应）。为本项目提供整体设计、规范编制或者项目管理、监理、检测等服务的供应商，不得再参与本项目投标（响应）：提供《投标人资格声明函》。</w:t>
            </w:r>
          </w:p>
        </w:tc>
        <w:tc>
          <w:tcPr>
            <w:tcW w:w="1033" w:type="dxa"/>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□通过</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w:t>
            </w:r>
          </w:p>
        </w:tc>
        <w:tc>
          <w:tcPr>
            <w:tcW w:w="1151" w:type="dxa"/>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846"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5</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default" w:ascii="宋体" w:hAnsi="宋体" w:cs="宋体"/>
                <w:color w:val="auto"/>
                <w:sz w:val="20"/>
                <w:szCs w:val="20"/>
                <w:highlight w:val="none"/>
                <w:lang w:val="en-US" w:eastAsia="zh-CN" w:bidi="ar-SA"/>
              </w:rPr>
              <w:t>供应商须具有在交通运输主管部门办理的有效的机动车维修的经营备案（经营范围为二类或者二类以上机动车维修）。（投标文件中提供备案证明材料加盖投标人公章）</w:t>
            </w:r>
          </w:p>
        </w:tc>
        <w:tc>
          <w:tcPr>
            <w:tcW w:w="1033" w:type="dxa"/>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□通过</w:t>
            </w:r>
          </w:p>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□不通过</w:t>
            </w:r>
          </w:p>
        </w:tc>
        <w:tc>
          <w:tcPr>
            <w:tcW w:w="1151" w:type="dxa"/>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58"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6</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投标报价满足招标文件要求（①报价唯一性；②报价未超最高限价；③未改变固定报价项（如有）；④按要求提供分项报价表（如有）；⑤报价合理性及异常低价响应审查（如有））</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eastAsia="zh-CN" w:bidi="ar-SA"/>
              </w:rPr>
              <w:t>□</w:t>
            </w:r>
            <w:r>
              <w:rPr>
                <w:rFonts w:hint="eastAsia" w:ascii="宋体" w:hAnsi="宋体" w:cs="宋体"/>
                <w:color w:val="auto"/>
                <w:sz w:val="20"/>
                <w:szCs w:val="20"/>
                <w:highlight w:val="none"/>
                <w:lang w:val="en-US" w:bidi="ar-SA"/>
              </w:rPr>
              <w:t>通过</w:t>
            </w:r>
          </w:p>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□不通过</w:t>
            </w:r>
          </w:p>
        </w:tc>
        <w:tc>
          <w:tcPr>
            <w:tcW w:w="1151" w:type="dxa"/>
            <w:shd w:val="clear" w:color="auto" w:fill="auto"/>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7</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按照招标文件规定要求签署、盖章且投标文件有法定代表人签字或盖个人名章（或签字人有法定代表人有效授权书）的。</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□通过</w:t>
            </w:r>
          </w:p>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□不通过</w:t>
            </w:r>
          </w:p>
        </w:tc>
        <w:tc>
          <w:tcPr>
            <w:tcW w:w="1151" w:type="dxa"/>
            <w:shd w:val="clear" w:color="auto" w:fill="auto"/>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8</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投标文件完全响应招标文件的实质性条款（即标注★号条款，如有）。</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□通过</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w:t>
            </w:r>
          </w:p>
        </w:tc>
        <w:tc>
          <w:tcPr>
            <w:tcW w:w="1151" w:type="dxa"/>
            <w:shd w:val="clear" w:color="auto" w:fill="auto"/>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left"/>
              <w:rPr>
                <w:rFonts w:hint="default"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9</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US" w:eastAsia="zh-CN" w:bidi="ar-SA"/>
              </w:rPr>
              <w:t>不存在投标人串通投标情形。</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□通过</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w:t>
            </w:r>
          </w:p>
        </w:tc>
        <w:tc>
          <w:tcPr>
            <w:tcW w:w="1151" w:type="dxa"/>
            <w:shd w:val="clear" w:color="auto" w:fill="auto"/>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7" w:hRule="atLeast"/>
        </w:trPr>
        <w:tc>
          <w:tcPr>
            <w:tcW w:w="7673" w:type="dxa"/>
            <w:gridSpan w:val="2"/>
            <w:tcMar>
              <w:top w:w="57" w:type="dxa"/>
              <w:left w:w="57" w:type="dxa"/>
              <w:bottom w:w="57" w:type="dxa"/>
              <w:right w:w="57" w:type="dxa"/>
            </w:tcMar>
            <w:vAlign w:val="center"/>
          </w:tcPr>
          <w:p>
            <w:pPr>
              <w:widowControl/>
              <w:autoSpaceDE/>
              <w:autoSpaceDN/>
              <w:spacing w:before="0" w:after="0" w:line="240" w:lineRule="exact"/>
              <w:ind w:left="0" w:right="0"/>
              <w:jc w:val="center"/>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结论</w:t>
            </w:r>
          </w:p>
        </w:tc>
        <w:tc>
          <w:tcPr>
            <w:tcW w:w="1033" w:type="dxa"/>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p>
        </w:tc>
        <w:tc>
          <w:tcPr>
            <w:tcW w:w="1151" w:type="dxa"/>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7" w:hRule="atLeast"/>
        </w:trPr>
        <w:tc>
          <w:tcPr>
            <w:tcW w:w="7673" w:type="dxa"/>
            <w:gridSpan w:val="2"/>
            <w:tcMar>
              <w:top w:w="57" w:type="dxa"/>
              <w:left w:w="57" w:type="dxa"/>
              <w:bottom w:w="57" w:type="dxa"/>
              <w:right w:w="57" w:type="dxa"/>
            </w:tcMar>
            <w:vAlign w:val="center"/>
          </w:tcPr>
          <w:p>
            <w:pPr>
              <w:widowControl/>
              <w:autoSpaceDE/>
              <w:autoSpaceDN/>
              <w:spacing w:before="0" w:after="0" w:line="240" w:lineRule="exact"/>
              <w:ind w:left="0" w:right="0"/>
              <w:jc w:val="center"/>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不通过原因说明</w:t>
            </w:r>
          </w:p>
        </w:tc>
        <w:tc>
          <w:tcPr>
            <w:tcW w:w="1033" w:type="dxa"/>
            <w:tcMar>
              <w:top w:w="57" w:type="dxa"/>
              <w:left w:w="57" w:type="dxa"/>
              <w:bottom w:w="57" w:type="dxa"/>
              <w:right w:w="57" w:type="dxa"/>
            </w:tcMar>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p>
        </w:tc>
        <w:tc>
          <w:tcPr>
            <w:tcW w:w="1151" w:type="dxa"/>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p>
        </w:tc>
      </w:tr>
    </w:tbl>
    <w:p>
      <w:pPr>
        <w:widowControl/>
        <w:autoSpaceDE/>
        <w:autoSpaceDN/>
        <w:spacing w:before="0" w:after="0" w:line="240" w:lineRule="exact"/>
        <w:ind w:left="0" w:right="0"/>
        <w:jc w:val="left"/>
        <w:rPr>
          <w:rFonts w:hint="eastAsia" w:ascii="宋体" w:hAnsi="宋体" w:cs="宋体"/>
          <w:color w:val="auto"/>
          <w:sz w:val="20"/>
          <w:szCs w:val="20"/>
          <w:highlight w:val="none"/>
          <w:lang w:val="en-US" w:eastAsia="zh-CN" w:bidi="ar-SA"/>
        </w:rPr>
      </w:pPr>
      <w:r>
        <w:rPr>
          <w:rFonts w:hint="eastAsia" w:ascii="宋体" w:hAnsi="宋体" w:cs="宋体"/>
          <w:color w:val="auto"/>
          <w:sz w:val="20"/>
          <w:szCs w:val="20"/>
          <w:highlight w:val="none"/>
          <w:lang w:val="en-GB" w:eastAsia="zh-CN" w:bidi="ar-SA"/>
        </w:rPr>
        <w:t>说明</w:t>
      </w:r>
      <w:r>
        <w:rPr>
          <w:rFonts w:hint="eastAsia" w:ascii="宋体" w:hAnsi="宋体" w:cs="宋体"/>
          <w:color w:val="auto"/>
          <w:sz w:val="20"/>
          <w:szCs w:val="20"/>
          <w:highlight w:val="none"/>
          <w:lang w:val="en-US" w:eastAsia="zh-CN" w:bidi="ar-SA"/>
        </w:rPr>
        <w:t>：以上材料将作为投标人合格性和有效性审核的重要内容之一，投标人必须严格按照其内容及序列要求在投标文件中对应如实提供，对缺漏和不符合项将会直接导致无效投标！在对应的□打“√”。</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投标人代表签字或签章：</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投标人名称（加盖公章）：</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日期：</w:t>
      </w:r>
      <w:r>
        <w:rPr>
          <w:rFonts w:hint="eastAsia" w:ascii="宋体" w:hAnsi="宋体" w:cs="宋体"/>
          <w:color w:val="auto"/>
          <w:sz w:val="20"/>
          <w:szCs w:val="20"/>
          <w:highlight w:val="none"/>
          <w:lang w:val="en-US" w:eastAsia="zh-CN" w:bidi="ar-SA"/>
        </w:rPr>
        <w:t xml:space="preserve">    </w:t>
      </w:r>
      <w:r>
        <w:rPr>
          <w:rFonts w:hint="eastAsia" w:ascii="宋体" w:hAnsi="宋体" w:cs="宋体"/>
          <w:color w:val="auto"/>
          <w:sz w:val="20"/>
          <w:szCs w:val="20"/>
          <w:highlight w:val="none"/>
          <w:lang w:val="en-US" w:bidi="ar-SA"/>
        </w:rPr>
        <w:t xml:space="preserve">年 </w:t>
      </w:r>
      <w:r>
        <w:rPr>
          <w:rFonts w:hint="eastAsia" w:ascii="宋体" w:hAnsi="宋体" w:cs="宋体"/>
          <w:color w:val="auto"/>
          <w:sz w:val="20"/>
          <w:szCs w:val="20"/>
          <w:highlight w:val="none"/>
          <w:lang w:val="en-US" w:eastAsia="zh-CN" w:bidi="ar-SA"/>
        </w:rPr>
        <w:t xml:space="preserve"> </w:t>
      </w:r>
      <w:r>
        <w:rPr>
          <w:rFonts w:hint="eastAsia" w:ascii="宋体" w:hAnsi="宋体" w:cs="宋体"/>
          <w:color w:val="auto"/>
          <w:sz w:val="20"/>
          <w:szCs w:val="20"/>
          <w:highlight w:val="none"/>
          <w:lang w:val="en-US" w:bidi="ar-SA"/>
        </w:rPr>
        <w:t xml:space="preserve">月 </w:t>
      </w:r>
      <w:r>
        <w:rPr>
          <w:rFonts w:hint="eastAsia" w:ascii="宋体" w:hAnsi="宋体" w:cs="宋体"/>
          <w:color w:val="auto"/>
          <w:sz w:val="20"/>
          <w:szCs w:val="20"/>
          <w:highlight w:val="none"/>
          <w:lang w:val="en-US" w:eastAsia="zh-CN" w:bidi="ar-SA"/>
        </w:rPr>
        <w:t xml:space="preserve"> </w:t>
      </w:r>
      <w:r>
        <w:rPr>
          <w:rFonts w:hint="eastAsia" w:ascii="宋体" w:hAnsi="宋体" w:cs="宋体"/>
          <w:color w:val="auto"/>
          <w:sz w:val="20"/>
          <w:szCs w:val="20"/>
          <w:highlight w:val="none"/>
          <w:lang w:val="en-US" w:bidi="ar-SA"/>
        </w:rPr>
        <w:t>日</w:t>
      </w:r>
    </w:p>
    <w:p>
      <w:pPr>
        <w:widowControl/>
        <w:autoSpaceDE/>
        <w:autoSpaceDN/>
        <w:spacing w:before="0" w:after="0" w:line="240" w:lineRule="exact"/>
        <w:ind w:left="0" w:right="0"/>
        <w:jc w:val="left"/>
        <w:rPr>
          <w:rFonts w:ascii="宋体" w:hAnsi="宋体" w:cs="宋体"/>
          <w:color w:val="auto"/>
          <w:sz w:val="21"/>
          <w:szCs w:val="21"/>
          <w:highlight w:val="none"/>
          <w:lang w:val="en-US" w:bidi="ar-SA"/>
        </w:rPr>
      </w:pPr>
      <w:r>
        <w:rPr>
          <w:rFonts w:hint="eastAsia" w:ascii="宋体" w:hAnsi="宋体" w:cs="宋体"/>
          <w:color w:val="auto"/>
          <w:sz w:val="20"/>
          <w:szCs w:val="20"/>
          <w:highlight w:val="none"/>
          <w:lang w:val="en-US" w:bidi="ar-SA"/>
        </w:rPr>
        <w:br w:type="page"/>
      </w:r>
    </w:p>
    <w:p>
      <w:pPr>
        <w:widowControl/>
        <w:autoSpaceDE/>
        <w:autoSpaceDN/>
        <w:spacing w:before="0" w:after="0" w:line="240" w:lineRule="auto"/>
        <w:ind w:left="0" w:right="0"/>
        <w:jc w:val="center"/>
        <w:rPr>
          <w:rFonts w:ascii="宋体" w:hAnsi="宋体" w:cs="宋体"/>
          <w:b/>
          <w:color w:val="auto"/>
          <w:sz w:val="24"/>
          <w:szCs w:val="24"/>
          <w:highlight w:val="none"/>
          <w:lang w:val="en-US" w:bidi="ar-SA"/>
        </w:rPr>
      </w:pPr>
      <w:bookmarkStart w:id="38" w:name="_Toc4173"/>
      <w:bookmarkStart w:id="39" w:name="_Toc2764"/>
      <w:r>
        <w:rPr>
          <w:rFonts w:hint="eastAsia" w:ascii="宋体" w:hAnsi="宋体" w:cs="宋体"/>
          <w:b/>
          <w:color w:val="auto"/>
          <w:sz w:val="24"/>
          <w:szCs w:val="24"/>
          <w:highlight w:val="none"/>
          <w:lang w:val="en-US" w:bidi="ar-SA"/>
        </w:rPr>
        <w:t>1.</w:t>
      </w:r>
      <w:r>
        <w:rPr>
          <w:rFonts w:ascii="宋体" w:hAnsi="宋体" w:cs="宋体"/>
          <w:b/>
          <w:color w:val="auto"/>
          <w:sz w:val="24"/>
          <w:szCs w:val="24"/>
          <w:highlight w:val="none"/>
          <w:lang w:val="en-US" w:bidi="ar-SA"/>
        </w:rPr>
        <w:t>2</w:t>
      </w:r>
      <w:r>
        <w:rPr>
          <w:rFonts w:hint="eastAsia" w:ascii="宋体" w:hAnsi="宋体" w:cs="宋体"/>
          <w:b/>
          <w:color w:val="auto"/>
          <w:sz w:val="24"/>
          <w:szCs w:val="24"/>
          <w:highlight w:val="none"/>
          <w:lang w:val="en-US" w:bidi="ar-SA"/>
        </w:rPr>
        <w:t>技术商务部分评审自查表</w:t>
      </w:r>
      <w:bookmarkEnd w:id="38"/>
      <w:bookmarkEnd w:id="39"/>
    </w:p>
    <w:tbl>
      <w:tblPr>
        <w:tblStyle w:val="1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040"/>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4" w:type="dxa"/>
            <w:vAlign w:val="center"/>
          </w:tcPr>
          <w:p>
            <w:pPr>
              <w:widowControl/>
              <w:autoSpaceDE/>
              <w:autoSpaceDN/>
              <w:spacing w:before="0" w:after="0" w:line="240" w:lineRule="auto"/>
              <w:ind w:left="0" w:right="0"/>
              <w:jc w:val="center"/>
              <w:rPr>
                <w:rFonts w:ascii="宋体" w:hAnsi="宋体" w:cs="宋体"/>
                <w:b/>
                <w:color w:val="auto"/>
                <w:sz w:val="21"/>
                <w:szCs w:val="21"/>
                <w:highlight w:val="none"/>
                <w:lang w:val="en-US" w:bidi="ar-SA"/>
              </w:rPr>
            </w:pPr>
            <w:r>
              <w:rPr>
                <w:rFonts w:hint="eastAsia" w:ascii="宋体" w:hAnsi="宋体" w:cs="宋体"/>
                <w:b/>
                <w:color w:val="auto"/>
                <w:sz w:val="21"/>
                <w:szCs w:val="21"/>
                <w:highlight w:val="none"/>
                <w:lang w:val="en-US" w:bidi="ar-SA"/>
              </w:rPr>
              <w:t>序号</w:t>
            </w:r>
          </w:p>
        </w:tc>
        <w:tc>
          <w:tcPr>
            <w:tcW w:w="5040" w:type="dxa"/>
            <w:vAlign w:val="center"/>
          </w:tcPr>
          <w:p>
            <w:pPr>
              <w:widowControl/>
              <w:autoSpaceDE/>
              <w:autoSpaceDN/>
              <w:spacing w:before="0" w:after="0" w:line="240" w:lineRule="auto"/>
              <w:ind w:left="0" w:right="0"/>
              <w:jc w:val="center"/>
              <w:rPr>
                <w:rFonts w:ascii="宋体" w:hAnsi="宋体" w:cs="宋体"/>
                <w:b/>
                <w:color w:val="auto"/>
                <w:sz w:val="21"/>
                <w:szCs w:val="21"/>
                <w:highlight w:val="none"/>
                <w:lang w:val="en-US" w:bidi="ar-SA"/>
              </w:rPr>
            </w:pPr>
            <w:r>
              <w:rPr>
                <w:rFonts w:hint="eastAsia" w:ascii="宋体" w:hAnsi="宋体" w:cs="宋体"/>
                <w:b/>
                <w:color w:val="auto"/>
                <w:sz w:val="21"/>
                <w:szCs w:val="21"/>
                <w:highlight w:val="none"/>
                <w:lang w:val="en-US" w:bidi="ar-SA"/>
              </w:rPr>
              <w:t>评审内容</w:t>
            </w:r>
          </w:p>
        </w:tc>
        <w:tc>
          <w:tcPr>
            <w:tcW w:w="2791" w:type="dxa"/>
            <w:vAlign w:val="center"/>
          </w:tcPr>
          <w:p>
            <w:pPr>
              <w:widowControl/>
              <w:autoSpaceDE/>
              <w:autoSpaceDN/>
              <w:spacing w:before="0" w:after="0" w:line="240" w:lineRule="auto"/>
              <w:ind w:left="0" w:right="0"/>
              <w:jc w:val="center"/>
              <w:rPr>
                <w:rFonts w:ascii="宋体" w:hAnsi="宋体" w:cs="宋体"/>
                <w:b/>
                <w:color w:val="auto"/>
                <w:sz w:val="21"/>
                <w:szCs w:val="21"/>
                <w:highlight w:val="none"/>
                <w:lang w:val="en-US" w:bidi="ar-SA"/>
              </w:rPr>
            </w:pPr>
            <w:r>
              <w:rPr>
                <w:rFonts w:hint="eastAsia" w:ascii="宋体" w:hAnsi="宋体" w:cs="宋体"/>
                <w:b/>
                <w:color w:val="auto"/>
                <w:sz w:val="21"/>
                <w:szCs w:val="21"/>
                <w:highlight w:val="none"/>
                <w:lang w:val="en-US" w:bidi="ar-SA"/>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Align w:val="center"/>
          </w:tcPr>
          <w:p>
            <w:pPr>
              <w:widowControl/>
              <w:autoSpaceDE/>
              <w:autoSpaceDN/>
              <w:spacing w:before="0" w:after="0" w:line="240" w:lineRule="auto"/>
              <w:ind w:left="0" w:right="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1</w:t>
            </w:r>
          </w:p>
        </w:tc>
        <w:tc>
          <w:tcPr>
            <w:tcW w:w="5040" w:type="dxa"/>
            <w:vAlign w:val="center"/>
          </w:tcPr>
          <w:p>
            <w:pPr>
              <w:tabs>
                <w:tab w:val="left" w:pos="420"/>
                <w:tab w:val="center" w:pos="4153"/>
                <w:tab w:val="right" w:pos="8306"/>
              </w:tabs>
              <w:snapToGrid w:val="0"/>
              <w:spacing w:line="360" w:lineRule="auto"/>
              <w:ind w:firstLine="315" w:firstLineChars="150"/>
              <w:jc w:val="center"/>
              <w:rPr>
                <w:rFonts w:ascii="宋体" w:hAnsi="宋体" w:eastAsia="宋体" w:cs="宋体"/>
                <w:color w:val="auto"/>
                <w:sz w:val="21"/>
                <w:szCs w:val="21"/>
                <w:highlight w:val="none"/>
                <w:lang w:val="en-US" w:eastAsia="zh-CN" w:bidi="ar-SA"/>
              </w:rPr>
            </w:pPr>
          </w:p>
        </w:tc>
        <w:tc>
          <w:tcPr>
            <w:tcW w:w="2791" w:type="dxa"/>
            <w:vAlign w:val="center"/>
          </w:tcPr>
          <w:p>
            <w:pPr>
              <w:widowControl/>
              <w:autoSpaceDE/>
              <w:autoSpaceDN/>
              <w:spacing w:before="0" w:after="0" w:line="240" w:lineRule="auto"/>
              <w:ind w:left="0" w:right="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Align w:val="center"/>
          </w:tcPr>
          <w:p>
            <w:pPr>
              <w:widowControl/>
              <w:autoSpaceDE/>
              <w:autoSpaceDN/>
              <w:spacing w:before="0" w:after="0" w:line="240" w:lineRule="auto"/>
              <w:ind w:left="0" w:right="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w:t>
            </w:r>
          </w:p>
        </w:tc>
        <w:tc>
          <w:tcPr>
            <w:tcW w:w="5040" w:type="dxa"/>
            <w:vAlign w:val="center"/>
          </w:tcPr>
          <w:p>
            <w:pPr>
              <w:widowControl/>
              <w:autoSpaceDE/>
              <w:autoSpaceDN/>
              <w:spacing w:before="0" w:after="0" w:line="360" w:lineRule="auto"/>
              <w:ind w:left="0" w:right="0"/>
              <w:jc w:val="center"/>
              <w:rPr>
                <w:rFonts w:ascii="宋体" w:hAnsi="宋体" w:cs="宋体"/>
                <w:color w:val="auto"/>
                <w:sz w:val="21"/>
                <w:szCs w:val="21"/>
                <w:highlight w:val="none"/>
                <w:lang w:val="en-US" w:bidi="ar-SA"/>
              </w:rPr>
            </w:pPr>
          </w:p>
        </w:tc>
        <w:tc>
          <w:tcPr>
            <w:tcW w:w="2791" w:type="dxa"/>
            <w:vAlign w:val="center"/>
          </w:tcPr>
          <w:p>
            <w:pPr>
              <w:widowControl/>
              <w:autoSpaceDE/>
              <w:autoSpaceDN/>
              <w:spacing w:before="0" w:after="0" w:line="240" w:lineRule="auto"/>
              <w:ind w:left="0" w:right="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Align w:val="center"/>
          </w:tcPr>
          <w:p>
            <w:pPr>
              <w:widowControl/>
              <w:autoSpaceDE/>
              <w:autoSpaceDN/>
              <w:spacing w:before="0" w:after="0" w:line="240" w:lineRule="auto"/>
              <w:ind w:left="0" w:right="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3</w:t>
            </w:r>
          </w:p>
        </w:tc>
        <w:tc>
          <w:tcPr>
            <w:tcW w:w="5040" w:type="dxa"/>
            <w:vAlign w:val="center"/>
          </w:tcPr>
          <w:p>
            <w:pPr>
              <w:widowControl/>
              <w:autoSpaceDE/>
              <w:autoSpaceDN/>
              <w:spacing w:before="0" w:after="0" w:line="360" w:lineRule="auto"/>
              <w:ind w:left="0" w:right="0"/>
              <w:jc w:val="center"/>
              <w:rPr>
                <w:rFonts w:ascii="宋体" w:hAnsi="宋体" w:cs="宋体"/>
                <w:color w:val="auto"/>
                <w:sz w:val="21"/>
                <w:szCs w:val="21"/>
                <w:highlight w:val="none"/>
                <w:lang w:val="en-US" w:bidi="ar-SA"/>
              </w:rPr>
            </w:pPr>
          </w:p>
        </w:tc>
        <w:tc>
          <w:tcPr>
            <w:tcW w:w="2791" w:type="dxa"/>
            <w:vAlign w:val="center"/>
          </w:tcPr>
          <w:p>
            <w:pPr>
              <w:widowControl/>
              <w:autoSpaceDE/>
              <w:autoSpaceDN/>
              <w:spacing w:before="0" w:after="0" w:line="240" w:lineRule="auto"/>
              <w:ind w:left="0" w:right="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Align w:val="center"/>
          </w:tcPr>
          <w:p>
            <w:pPr>
              <w:widowControl/>
              <w:autoSpaceDE/>
              <w:autoSpaceDN/>
              <w:spacing w:before="0" w:after="0" w:line="240" w:lineRule="auto"/>
              <w:ind w:left="0" w:right="0"/>
              <w:jc w:val="center"/>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4</w:t>
            </w:r>
          </w:p>
        </w:tc>
        <w:tc>
          <w:tcPr>
            <w:tcW w:w="5040" w:type="dxa"/>
            <w:vAlign w:val="center"/>
          </w:tcPr>
          <w:p>
            <w:pPr>
              <w:widowControl/>
              <w:autoSpaceDE/>
              <w:autoSpaceDN/>
              <w:spacing w:before="0" w:after="0" w:line="360" w:lineRule="auto"/>
              <w:ind w:left="0" w:right="0"/>
              <w:jc w:val="center"/>
              <w:rPr>
                <w:rFonts w:hint="eastAsia" w:ascii="宋体" w:hAnsi="宋体" w:cs="宋体"/>
                <w:color w:val="auto"/>
                <w:sz w:val="21"/>
                <w:szCs w:val="21"/>
                <w:highlight w:val="none"/>
                <w:lang w:val="en-US" w:bidi="ar-SA"/>
              </w:rPr>
            </w:pPr>
          </w:p>
        </w:tc>
        <w:tc>
          <w:tcPr>
            <w:tcW w:w="2791" w:type="dxa"/>
            <w:vAlign w:val="center"/>
          </w:tcPr>
          <w:p>
            <w:pPr>
              <w:widowControl/>
              <w:autoSpaceDE/>
              <w:autoSpaceDN/>
              <w:spacing w:before="0" w:after="0" w:line="240" w:lineRule="auto"/>
              <w:ind w:left="0" w:right="0"/>
              <w:jc w:val="center"/>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Align w:val="center"/>
          </w:tcPr>
          <w:p>
            <w:pPr>
              <w:widowControl/>
              <w:autoSpaceDE/>
              <w:autoSpaceDN/>
              <w:spacing w:before="0" w:after="0" w:line="240" w:lineRule="auto"/>
              <w:ind w:left="0" w:right="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5</w:t>
            </w:r>
          </w:p>
        </w:tc>
        <w:tc>
          <w:tcPr>
            <w:tcW w:w="5040" w:type="dxa"/>
            <w:vAlign w:val="center"/>
          </w:tcPr>
          <w:p>
            <w:pPr>
              <w:widowControl/>
              <w:autoSpaceDE/>
              <w:autoSpaceDN/>
              <w:spacing w:before="0" w:after="0" w:line="360" w:lineRule="auto"/>
              <w:ind w:left="0" w:right="0"/>
              <w:jc w:val="center"/>
              <w:rPr>
                <w:rFonts w:hint="eastAsia" w:ascii="宋体" w:hAnsi="宋体" w:cs="宋体"/>
                <w:color w:val="auto"/>
                <w:sz w:val="21"/>
                <w:szCs w:val="21"/>
                <w:highlight w:val="none"/>
                <w:lang w:val="en-US" w:bidi="ar-SA"/>
              </w:rPr>
            </w:pPr>
          </w:p>
        </w:tc>
        <w:tc>
          <w:tcPr>
            <w:tcW w:w="2791" w:type="dxa"/>
            <w:vAlign w:val="center"/>
          </w:tcPr>
          <w:p>
            <w:pPr>
              <w:widowControl/>
              <w:autoSpaceDE/>
              <w:autoSpaceDN/>
              <w:spacing w:before="0" w:after="0" w:line="240" w:lineRule="auto"/>
              <w:ind w:left="0" w:right="0"/>
              <w:jc w:val="center"/>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Align w:val="center"/>
          </w:tcPr>
          <w:p>
            <w:pPr>
              <w:widowControl/>
              <w:autoSpaceDE/>
              <w:autoSpaceDN/>
              <w:spacing w:before="0" w:after="0" w:line="240" w:lineRule="auto"/>
              <w:ind w:left="0" w:right="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6</w:t>
            </w:r>
          </w:p>
        </w:tc>
        <w:tc>
          <w:tcPr>
            <w:tcW w:w="5040" w:type="dxa"/>
            <w:vAlign w:val="center"/>
          </w:tcPr>
          <w:p>
            <w:pPr>
              <w:widowControl/>
              <w:autoSpaceDE/>
              <w:autoSpaceDN/>
              <w:spacing w:before="0" w:after="0" w:line="360" w:lineRule="auto"/>
              <w:ind w:left="0" w:right="0"/>
              <w:jc w:val="center"/>
              <w:rPr>
                <w:rFonts w:hint="eastAsia" w:ascii="宋体" w:hAnsi="宋体" w:cs="宋体"/>
                <w:color w:val="auto"/>
                <w:sz w:val="21"/>
                <w:szCs w:val="21"/>
                <w:highlight w:val="none"/>
                <w:lang w:val="en-US" w:bidi="ar-SA"/>
              </w:rPr>
            </w:pPr>
          </w:p>
        </w:tc>
        <w:tc>
          <w:tcPr>
            <w:tcW w:w="2791" w:type="dxa"/>
            <w:vAlign w:val="center"/>
          </w:tcPr>
          <w:p>
            <w:pPr>
              <w:widowControl/>
              <w:autoSpaceDE/>
              <w:autoSpaceDN/>
              <w:spacing w:before="0" w:after="0" w:line="240" w:lineRule="auto"/>
              <w:ind w:left="0" w:right="0"/>
              <w:jc w:val="center"/>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94" w:type="dxa"/>
            <w:vAlign w:val="center"/>
          </w:tcPr>
          <w:p>
            <w:pPr>
              <w:widowControl/>
              <w:autoSpaceDE/>
              <w:autoSpaceDN/>
              <w:spacing w:before="0" w:after="0" w:line="240" w:lineRule="auto"/>
              <w:ind w:left="0" w:right="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w:t>
            </w:r>
          </w:p>
        </w:tc>
        <w:tc>
          <w:tcPr>
            <w:tcW w:w="5040" w:type="dxa"/>
            <w:vAlign w:val="center"/>
          </w:tcPr>
          <w:p>
            <w:pPr>
              <w:widowControl/>
              <w:autoSpaceDE/>
              <w:autoSpaceDN/>
              <w:spacing w:before="0" w:after="0" w:line="360" w:lineRule="auto"/>
              <w:ind w:left="0" w:right="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w:t>
            </w:r>
          </w:p>
        </w:tc>
        <w:tc>
          <w:tcPr>
            <w:tcW w:w="2791" w:type="dxa"/>
            <w:vAlign w:val="center"/>
          </w:tcPr>
          <w:p>
            <w:pPr>
              <w:widowControl/>
              <w:autoSpaceDE/>
              <w:autoSpaceDN/>
              <w:spacing w:before="0" w:after="0" w:line="240" w:lineRule="auto"/>
              <w:ind w:left="0" w:right="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w:t>
            </w:r>
          </w:p>
        </w:tc>
      </w:tr>
    </w:tbl>
    <w:p>
      <w:pPr>
        <w:widowControl w:val="0"/>
        <w:spacing w:after="0" w:line="360" w:lineRule="auto"/>
        <w:ind w:left="424" w:hanging="424" w:hangingChars="202"/>
        <w:jc w:val="both"/>
        <w:rPr>
          <w:rFonts w:ascii="宋体" w:hAnsi="宋体" w:eastAsia="宋体" w:cs="宋体"/>
          <w:color w:val="auto"/>
          <w:kern w:val="2"/>
          <w:sz w:val="21"/>
          <w:szCs w:val="21"/>
          <w:highlight w:val="none"/>
          <w:lang w:val="en-GB" w:eastAsia="zh-CN" w:bidi="ar-SA"/>
        </w:rPr>
      </w:pPr>
    </w:p>
    <w:p>
      <w:pPr>
        <w:widowControl/>
        <w:autoSpaceDE/>
        <w:autoSpaceDN/>
        <w:spacing w:before="0" w:after="0" w:line="240" w:lineRule="auto"/>
        <w:ind w:left="0" w:right="0"/>
        <w:jc w:val="left"/>
        <w:rPr>
          <w:rFonts w:ascii="宋体" w:hAnsi="宋体" w:cs="宋体"/>
          <w:color w:val="auto"/>
          <w:sz w:val="21"/>
          <w:szCs w:val="21"/>
          <w:highlight w:val="none"/>
          <w:lang w:val="en-GB" w:bidi="ar-SA"/>
        </w:rPr>
      </w:pPr>
      <w:r>
        <w:rPr>
          <w:rFonts w:hint="eastAsia" w:ascii="宋体" w:hAnsi="宋体" w:cs="宋体"/>
          <w:color w:val="auto"/>
          <w:sz w:val="21"/>
          <w:szCs w:val="21"/>
          <w:highlight w:val="none"/>
          <w:lang w:val="en-US" w:bidi="ar-SA"/>
        </w:rPr>
        <w:t>说明</w:t>
      </w:r>
      <w:r>
        <w:rPr>
          <w:rFonts w:hint="eastAsia" w:ascii="宋体" w:hAnsi="宋体" w:cs="宋体"/>
          <w:color w:val="auto"/>
          <w:sz w:val="21"/>
          <w:szCs w:val="21"/>
          <w:highlight w:val="none"/>
          <w:lang w:val="en-GB" w:bidi="ar-SA"/>
        </w:rPr>
        <w:t>：</w:t>
      </w:r>
      <w:r>
        <w:rPr>
          <w:rFonts w:hint="eastAsia" w:ascii="宋体" w:hAnsi="宋体" w:cs="宋体"/>
          <w:color w:val="auto"/>
          <w:sz w:val="21"/>
          <w:szCs w:val="21"/>
          <w:highlight w:val="none"/>
          <w:lang w:val="en-US" w:bidi="ar-SA"/>
        </w:rPr>
        <w:t>投标人应根据《技术商务评分细则》的各项内容填写此表</w:t>
      </w:r>
      <w:r>
        <w:rPr>
          <w:rFonts w:hint="eastAsia" w:ascii="宋体" w:hAnsi="宋体" w:cs="宋体"/>
          <w:color w:val="auto"/>
          <w:sz w:val="21"/>
          <w:szCs w:val="21"/>
          <w:highlight w:val="none"/>
          <w:lang w:val="en-GB" w:bidi="ar-SA"/>
        </w:rPr>
        <w:t>。</w:t>
      </w:r>
    </w:p>
    <w:p>
      <w:pPr>
        <w:widowControl w:val="0"/>
        <w:spacing w:after="0" w:line="360" w:lineRule="auto"/>
        <w:jc w:val="both"/>
        <w:rPr>
          <w:rFonts w:ascii="宋体" w:hAnsi="宋体" w:eastAsia="宋体" w:cs="宋体"/>
          <w:color w:val="auto"/>
          <w:kern w:val="2"/>
          <w:sz w:val="21"/>
          <w:szCs w:val="21"/>
          <w:highlight w:val="none"/>
          <w:lang w:val="en-GB" w:eastAsia="zh-CN" w:bidi="ar-SA"/>
        </w:rPr>
      </w:pPr>
    </w:p>
    <w:p>
      <w:pPr>
        <w:widowControl/>
        <w:autoSpaceDE/>
        <w:autoSpaceDN/>
        <w:adjustRightInd w:val="0"/>
        <w:snapToGrid w:val="0"/>
        <w:spacing w:before="0" w:after="0" w:line="30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投标人代表签字或签章：</w:t>
      </w:r>
    </w:p>
    <w:p>
      <w:pPr>
        <w:widowControl/>
        <w:autoSpaceDE/>
        <w:autoSpaceDN/>
        <w:adjustRightInd w:val="0"/>
        <w:snapToGrid w:val="0"/>
        <w:spacing w:before="0" w:after="0" w:line="30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投标人名称（加盖公章）：</w:t>
      </w:r>
    </w:p>
    <w:p>
      <w:pPr>
        <w:widowControl/>
        <w:autoSpaceDE/>
        <w:autoSpaceDN/>
        <w:adjustRightInd w:val="0"/>
        <w:snapToGrid w:val="0"/>
        <w:spacing w:before="0" w:after="0" w:line="30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日期：</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年</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 xml:space="preserve"> 月</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 xml:space="preserve"> 日</w:t>
      </w:r>
    </w:p>
    <w:p>
      <w:pPr>
        <w:rPr>
          <w:rFonts w:ascii="宋体" w:hAnsi="宋体" w:cs="宋体"/>
          <w:color w:val="auto"/>
          <w:sz w:val="21"/>
          <w:szCs w:val="21"/>
          <w:highlight w:val="none"/>
          <w:lang w:val="en-US" w:bidi="ar-SA"/>
        </w:rPr>
        <w:sectPr>
          <w:headerReference r:id="rId6" w:type="default"/>
          <w:footerReference r:id="rId7" w:type="default"/>
          <w:pgSz w:w="11906" w:h="16838"/>
          <w:pgMar w:top="1434" w:right="1474" w:bottom="1434" w:left="1474" w:header="851" w:footer="992" w:gutter="0"/>
          <w:pgNumType w:fmt="decimal"/>
          <w:cols w:space="425" w:num="1"/>
          <w:docGrid w:type="lines" w:linePitch="312" w:charSpace="0"/>
        </w:sectPr>
      </w:pPr>
    </w:p>
    <w:p>
      <w:pPr>
        <w:widowControl/>
        <w:autoSpaceDE/>
        <w:autoSpaceDN/>
        <w:snapToGrid w:val="0"/>
        <w:spacing w:before="0" w:after="0" w:line="240" w:lineRule="auto"/>
        <w:ind w:left="0" w:right="0"/>
        <w:jc w:val="center"/>
        <w:rPr>
          <w:rFonts w:ascii="宋体" w:hAnsi="宋体" w:cs="宋体"/>
          <w:b/>
          <w:color w:val="auto"/>
          <w:sz w:val="24"/>
          <w:szCs w:val="20"/>
          <w:highlight w:val="none"/>
          <w:lang w:val="en-US" w:bidi="ar-SA"/>
        </w:rPr>
      </w:pPr>
      <w:bookmarkStart w:id="40" w:name="_Toc20311"/>
      <w:bookmarkStart w:id="41" w:name="_Toc28037"/>
      <w:r>
        <w:rPr>
          <w:rFonts w:hint="eastAsia" w:ascii="宋体" w:hAnsi="宋体" w:cs="宋体"/>
          <w:b/>
          <w:color w:val="auto"/>
          <w:sz w:val="24"/>
          <w:szCs w:val="24"/>
          <w:highlight w:val="none"/>
          <w:lang w:val="en-US" w:bidi="ar-SA"/>
        </w:rPr>
        <w:t>2.报价表</w:t>
      </w:r>
    </w:p>
    <w:p>
      <w:pPr>
        <w:pBdr>
          <w:bottom w:val="single" w:color="auto" w:sz="6" w:space="1"/>
        </w:pBdr>
        <w:snapToGrid w:val="0"/>
        <w:jc w:val="both"/>
        <w:rPr>
          <w:rFonts w:ascii="宋体" w:hAnsi="宋体" w:eastAsia="宋体" w:cs="Times New Roman"/>
          <w:color w:val="auto"/>
          <w:sz w:val="21"/>
          <w:szCs w:val="21"/>
          <w:highlight w:val="none"/>
          <w:lang w:val="en-US" w:eastAsia="zh-CN" w:bidi="ar-SA"/>
        </w:rPr>
      </w:pPr>
    </w:p>
    <w:p>
      <w:pPr>
        <w:pBdr>
          <w:bottom w:val="single" w:color="auto" w:sz="6" w:space="1"/>
        </w:pBdr>
        <w:snapToGrid w:val="0"/>
        <w:jc w:val="both"/>
        <w:rPr>
          <w:rFonts w:hint="eastAsia" w:ascii="宋体" w:hAnsi="宋体" w:eastAsia="宋体" w:cs="Times New Roman"/>
          <w:color w:val="auto"/>
          <w:sz w:val="21"/>
          <w:szCs w:val="21"/>
          <w:highlight w:val="none"/>
          <w:lang w:val="en-US" w:eastAsia="zh-CN" w:bidi="ar-SA"/>
        </w:rPr>
      </w:pPr>
      <w:r>
        <w:rPr>
          <w:rFonts w:ascii="宋体" w:hAnsi="宋体" w:eastAsia="宋体" w:cs="Times New Roman"/>
          <w:color w:val="auto"/>
          <w:sz w:val="21"/>
          <w:szCs w:val="21"/>
          <w:highlight w:val="none"/>
          <w:lang w:val="en-US" w:eastAsia="zh-CN" w:bidi="ar-SA"/>
        </w:rPr>
        <w:t>项目</w:t>
      </w:r>
      <w:r>
        <w:rPr>
          <w:rFonts w:hint="eastAsia" w:ascii="宋体" w:hAnsi="宋体" w:eastAsia="宋体" w:cs="Times New Roman"/>
          <w:color w:val="auto"/>
          <w:sz w:val="21"/>
          <w:szCs w:val="21"/>
          <w:highlight w:val="none"/>
          <w:lang w:val="en-US" w:eastAsia="zh-CN" w:bidi="ar-SA"/>
        </w:rPr>
        <w:t>名称：珠海市香洲区第二人民医院</w:t>
      </w:r>
      <w:r>
        <w:rPr>
          <w:rFonts w:hint="eastAsia" w:cs="Times New Roman"/>
          <w:color w:val="auto"/>
          <w:sz w:val="21"/>
          <w:szCs w:val="21"/>
          <w:highlight w:val="none"/>
          <w:lang w:val="en-US" w:eastAsia="zh-CN" w:bidi="ar-SA"/>
        </w:rPr>
        <w:t>车辆定点维修服务年度供应商采购</w:t>
      </w:r>
      <w:r>
        <w:rPr>
          <w:rFonts w:hint="eastAsia" w:ascii="宋体" w:hAnsi="宋体" w:eastAsia="宋体" w:cs="Times New Roman"/>
          <w:color w:val="auto"/>
          <w:sz w:val="21"/>
          <w:szCs w:val="21"/>
          <w:highlight w:val="none"/>
          <w:lang w:val="en-US" w:eastAsia="zh-CN" w:bidi="ar-SA"/>
        </w:rPr>
        <w:t>项目</w:t>
      </w:r>
    </w:p>
    <w:p>
      <w:pPr>
        <w:pBdr>
          <w:bottom w:val="single" w:color="auto" w:sz="6" w:space="1"/>
        </w:pBdr>
        <w:snapToGrid w:val="0"/>
        <w:jc w:val="both"/>
        <w:rPr>
          <w:rFonts w:hint="eastAsia"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项目编号：HQCG20250</w:t>
      </w:r>
      <w:r>
        <w:rPr>
          <w:rFonts w:hint="eastAsia" w:cs="Times New Roman"/>
          <w:color w:val="auto"/>
          <w:sz w:val="21"/>
          <w:szCs w:val="21"/>
          <w:highlight w:val="none"/>
          <w:u w:val="none"/>
          <w:lang w:val="en-US" w:eastAsia="zh-CN" w:bidi="ar-SA"/>
        </w:rPr>
        <w:t>11</w:t>
      </w:r>
    </w:p>
    <w:p>
      <w:pPr>
        <w:pStyle w:val="2"/>
        <w:rPr>
          <w:rFonts w:hint="default"/>
          <w:lang w:val="en-US" w:eastAsia="zh-CN"/>
        </w:rPr>
      </w:pPr>
    </w:p>
    <w:tbl>
      <w:tblPr>
        <w:tblStyle w:val="1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306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446" w:type="dxa"/>
            <w:tcBorders>
              <w:top w:val="single" w:color="auto" w:sz="4" w:space="0"/>
            </w:tcBorders>
            <w:shd w:val="clear" w:color="auto" w:fill="EEECE1"/>
            <w:noWrap w:val="0"/>
            <w:vAlign w:val="center"/>
          </w:tcPr>
          <w:p>
            <w:pPr>
              <w:snapToGrid w:val="0"/>
              <w:spacing w:line="240" w:lineRule="auto"/>
              <w:ind w:right="-40" w:rightChars="-18"/>
              <w:jc w:val="center"/>
              <w:rPr>
                <w:rFonts w:hint="eastAsia" w:ascii="宋体" w:hAnsi="宋体" w:eastAsia="宋体" w:cs="宋体"/>
              </w:rPr>
            </w:pPr>
            <w:r>
              <w:rPr>
                <w:rFonts w:hint="eastAsia" w:ascii="宋体" w:hAnsi="宋体" w:eastAsia="宋体" w:cs="宋体"/>
              </w:rPr>
              <w:t>项目名称</w:t>
            </w:r>
          </w:p>
        </w:tc>
        <w:tc>
          <w:tcPr>
            <w:tcW w:w="3060" w:type="dxa"/>
            <w:tcBorders>
              <w:top w:val="single" w:color="auto" w:sz="4" w:space="0"/>
            </w:tcBorders>
            <w:shd w:val="clear" w:color="auto" w:fill="EEECE1"/>
            <w:noWrap w:val="0"/>
            <w:vAlign w:val="center"/>
          </w:tcPr>
          <w:p>
            <w:pPr>
              <w:snapToGrid w:val="0"/>
              <w:spacing w:line="240" w:lineRule="auto"/>
              <w:ind w:right="-40" w:rightChars="-18"/>
              <w:jc w:val="center"/>
              <w:rPr>
                <w:rFonts w:hint="eastAsia" w:ascii="宋体" w:hAnsi="宋体" w:eastAsia="宋体" w:cs="宋体"/>
              </w:rPr>
            </w:pPr>
            <w:r>
              <w:rPr>
                <w:rFonts w:hint="eastAsia" w:ascii="宋体" w:hAnsi="宋体" w:eastAsia="宋体" w:cs="宋体"/>
                <w:lang w:val="en-US" w:eastAsia="zh-CN"/>
              </w:rPr>
              <w:t>工时单价</w:t>
            </w:r>
          </w:p>
        </w:tc>
        <w:tc>
          <w:tcPr>
            <w:tcW w:w="2450" w:type="dxa"/>
            <w:tcBorders>
              <w:top w:val="single" w:color="auto" w:sz="4" w:space="0"/>
            </w:tcBorders>
            <w:shd w:val="clear" w:color="auto" w:fill="EEECE1"/>
            <w:noWrap w:val="0"/>
            <w:vAlign w:val="center"/>
          </w:tcPr>
          <w:p>
            <w:pPr>
              <w:snapToGrid w:val="0"/>
              <w:spacing w:line="240" w:lineRule="auto"/>
              <w:ind w:right="-40" w:rightChars="-18"/>
              <w:jc w:val="center"/>
              <w:rPr>
                <w:rFonts w:hint="eastAsia" w:ascii="宋体" w:hAnsi="宋体" w:eastAsia="宋体" w:cs="宋体"/>
              </w:rPr>
            </w:pPr>
            <w:r>
              <w:rPr>
                <w:rFonts w:hint="eastAsia" w:ascii="宋体" w:hAnsi="宋体" w:eastAsia="宋体" w:cs="宋体"/>
                <w:lang w:val="en-US" w:eastAsia="zh-CN"/>
              </w:rPr>
              <w:t>工时单价最高限价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3446" w:type="dxa"/>
            <w:noWrap w:val="0"/>
            <w:vAlign w:val="center"/>
          </w:tcPr>
          <w:p>
            <w:pPr>
              <w:spacing w:line="360" w:lineRule="auto"/>
              <w:ind w:left="-99" w:leftChars="-45" w:right="-73" w:rightChars="-33"/>
              <w:jc w:val="center"/>
              <w:rPr>
                <w:rFonts w:hint="eastAsia" w:ascii="宋体" w:hAnsi="宋体" w:eastAsia="宋体" w:cs="宋体"/>
                <w:lang w:eastAsia="zh-CN"/>
              </w:rPr>
            </w:pPr>
            <w:r>
              <w:rPr>
                <w:rFonts w:hint="eastAsia" w:ascii="宋体" w:hAnsi="宋体" w:eastAsia="宋体" w:cs="宋体"/>
                <w:color w:val="auto"/>
                <w:sz w:val="22"/>
                <w:szCs w:val="22"/>
                <w:highlight w:val="none"/>
                <w:lang w:val="en-US" w:eastAsia="zh-CN" w:bidi="ar-SA"/>
              </w:rPr>
              <w:t>珠海市香洲区第二人民医院车辆定点维修服务年度供应商采购项目</w:t>
            </w:r>
          </w:p>
        </w:tc>
        <w:tc>
          <w:tcPr>
            <w:tcW w:w="3060" w:type="dxa"/>
            <w:noWrap w:val="0"/>
            <w:vAlign w:val="center"/>
          </w:tcPr>
          <w:p>
            <w:pPr>
              <w:spacing w:line="360" w:lineRule="auto"/>
              <w:rPr>
                <w:rFonts w:hint="eastAsia" w:ascii="宋体" w:hAnsi="宋体" w:eastAsia="宋体" w:cs="宋体"/>
                <w:u w:val="single"/>
              </w:rPr>
            </w:pPr>
            <w:r>
              <w:rPr>
                <w:rFonts w:hint="eastAsia" w:ascii="宋体" w:hAnsi="宋体" w:eastAsia="宋体" w:cs="宋体"/>
                <w:u w:val="single"/>
              </w:rPr>
              <w:t xml:space="preserve">大写：             </w:t>
            </w:r>
            <w:r>
              <w:rPr>
                <w:rFonts w:hint="eastAsia" w:ascii="宋体" w:hAnsi="宋体" w:eastAsia="宋体" w:cs="宋体"/>
              </w:rPr>
              <w:t>（元）</w:t>
            </w:r>
          </w:p>
          <w:p>
            <w:pPr>
              <w:spacing w:line="360" w:lineRule="auto"/>
              <w:rPr>
                <w:rFonts w:hint="eastAsia" w:ascii="宋体" w:hAnsi="宋体" w:eastAsia="宋体" w:cs="宋体"/>
              </w:rPr>
            </w:pPr>
            <w:r>
              <w:rPr>
                <w:rFonts w:hint="eastAsia" w:ascii="宋体" w:hAnsi="宋体" w:eastAsia="宋体" w:cs="宋体"/>
                <w:u w:val="single"/>
              </w:rPr>
              <w:t xml:space="preserve">小写：             </w:t>
            </w:r>
            <w:r>
              <w:rPr>
                <w:rFonts w:hint="eastAsia" w:ascii="宋体" w:hAnsi="宋体" w:eastAsia="宋体" w:cs="宋体"/>
              </w:rPr>
              <w:t>（元）</w:t>
            </w:r>
          </w:p>
        </w:tc>
        <w:tc>
          <w:tcPr>
            <w:tcW w:w="2450"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工时单价：</w:t>
            </w:r>
            <w:r>
              <w:rPr>
                <w:rFonts w:hint="eastAsia" w:cs="宋体"/>
                <w:color w:val="000000" w:themeColor="text1"/>
                <w:spacing w:val="0"/>
                <w:kern w:val="0"/>
                <w:sz w:val="24"/>
                <w:szCs w:val="24"/>
                <w:highlight w:val="none"/>
                <w:lang w:val="en-US" w:eastAsia="zh-CN" w:bidi="ar"/>
                <w14:textFill>
                  <w14:solidFill>
                    <w14:schemeClr w14:val="tx1"/>
                  </w14:solidFill>
                </w14:textFill>
              </w:rPr>
              <w:t>28</w:t>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元/工时</w:t>
            </w:r>
          </w:p>
        </w:tc>
      </w:tr>
    </w:tbl>
    <w:p>
      <w:pPr>
        <w:widowControl/>
        <w:autoSpaceDE/>
        <w:autoSpaceDN/>
        <w:spacing w:before="0" w:after="0" w:line="400" w:lineRule="exact"/>
        <w:ind w:left="945" w:right="0" w:hanging="945" w:hangingChars="450"/>
        <w:jc w:val="left"/>
        <w:rPr>
          <w:rFonts w:ascii="宋体" w:hAnsi="宋体" w:cs="宋体"/>
          <w:color w:val="auto"/>
          <w:sz w:val="21"/>
          <w:szCs w:val="20"/>
          <w:highlight w:val="none"/>
          <w:lang w:val="en-US" w:bidi="ar-SA"/>
        </w:rPr>
      </w:pPr>
    </w:p>
    <w:p>
      <w:pPr>
        <w:widowControl/>
        <w:autoSpaceDE/>
        <w:autoSpaceDN/>
        <w:snapToGrid w:val="0"/>
        <w:spacing w:before="0" w:after="0" w:line="240" w:lineRule="auto"/>
        <w:ind w:left="0" w:right="0"/>
        <w:jc w:val="left"/>
        <w:rPr>
          <w:rFonts w:ascii="宋体" w:hAnsi="宋体" w:cs="宋体"/>
          <w:color w:val="auto"/>
          <w:sz w:val="21"/>
          <w:szCs w:val="20"/>
          <w:highlight w:val="none"/>
          <w:lang w:val="en-US" w:bidi="ar-SA"/>
        </w:rPr>
      </w:pP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 xml:space="preserve">投标人授权代表签字或签章：          </w:t>
      </w:r>
    </w:p>
    <w:p>
      <w:pPr>
        <w:widowControl/>
        <w:autoSpaceDE/>
        <w:autoSpaceDN/>
        <w:spacing w:before="0" w:after="120" w:line="360" w:lineRule="auto"/>
        <w:ind w:left="0" w:right="0"/>
        <w:jc w:val="both"/>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 xml:space="preserve">投标人名称（加盖投标人公章）：                   </w:t>
      </w:r>
    </w:p>
    <w:p>
      <w:pPr>
        <w:widowControl/>
        <w:autoSpaceDE/>
        <w:autoSpaceDN/>
        <w:spacing w:before="0" w:after="120" w:line="360" w:lineRule="auto"/>
        <w:ind w:left="0" w:right="0"/>
        <w:jc w:val="both"/>
        <w:rPr>
          <w:rFonts w:ascii="宋体" w:hAnsi="宋体" w:cs="宋体"/>
          <w:b/>
          <w:bCs/>
          <w:color w:val="auto"/>
          <w:sz w:val="21"/>
          <w:szCs w:val="20"/>
          <w:highlight w:val="none"/>
          <w:lang w:val="en-US" w:bidi="ar-SA"/>
        </w:rPr>
      </w:pPr>
      <w:r>
        <w:rPr>
          <w:rFonts w:hint="eastAsia" w:ascii="宋体" w:hAnsi="宋体" w:cs="宋体"/>
          <w:color w:val="auto"/>
          <w:sz w:val="21"/>
          <w:szCs w:val="20"/>
          <w:highlight w:val="none"/>
          <w:lang w:val="en-US" w:bidi="ar-SA"/>
        </w:rPr>
        <w:t xml:space="preserve">日期：              </w:t>
      </w:r>
    </w:p>
    <w:bookmarkEnd w:id="40"/>
    <w:bookmarkEnd w:id="41"/>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备注：</w:t>
      </w:r>
    </w:p>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1．中文大写金额用汉字，如壹、贰、叁、肆、伍、陆、柒、捌、玖、拾、佰、仟、万、亿、元、角、分、零、整（正）等。</w:t>
      </w:r>
    </w:p>
    <w:p>
      <w:pPr>
        <w:widowControl w:val="0"/>
        <w:tabs>
          <w:tab w:val="left" w:pos="654"/>
          <w:tab w:val="left" w:pos="1734"/>
          <w:tab w:val="left" w:pos="2814"/>
          <w:tab w:val="left" w:pos="3894"/>
          <w:tab w:val="left" w:pos="5334"/>
          <w:tab w:val="left" w:pos="6414"/>
          <w:tab w:val="left" w:pos="7254"/>
          <w:tab w:val="left" w:pos="8574"/>
          <w:tab w:val="left" w:pos="9654"/>
        </w:tabs>
        <w:autoSpaceDE/>
        <w:autoSpaceDN/>
        <w:spacing w:before="0" w:after="0" w:line="360" w:lineRule="auto"/>
        <w:ind w:left="0" w:right="0" w:firstLine="315" w:firstLineChars="150"/>
        <w:jc w:val="both"/>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w:t>
      </w:r>
      <w:r>
        <w:rPr>
          <w:rFonts w:hint="eastAsia" w:ascii="宋体" w:hAnsi="宋体" w:cs="宋体"/>
          <w:bCs/>
          <w:color w:val="auto"/>
          <w:sz w:val="21"/>
          <w:szCs w:val="20"/>
          <w:highlight w:val="none"/>
          <w:lang w:val="en-US" w:bidi="ar-SA"/>
        </w:rPr>
        <w:t>本项目报价采用</w:t>
      </w:r>
      <w:r>
        <w:rPr>
          <w:rFonts w:hint="eastAsia" w:cs="宋体"/>
          <w:bCs/>
          <w:color w:val="auto"/>
          <w:sz w:val="21"/>
          <w:szCs w:val="20"/>
          <w:highlight w:val="none"/>
          <w:lang w:val="en-US" w:eastAsia="zh-CN" w:bidi="ar-SA"/>
        </w:rPr>
        <w:t>单</w:t>
      </w:r>
      <w:r>
        <w:rPr>
          <w:rFonts w:hint="eastAsia" w:ascii="宋体" w:hAnsi="宋体" w:cs="宋体"/>
          <w:bCs/>
          <w:color w:val="auto"/>
          <w:sz w:val="21"/>
          <w:szCs w:val="20"/>
          <w:highlight w:val="none"/>
          <w:lang w:val="en-US" w:bidi="ar-SA"/>
        </w:rPr>
        <w:t>价报价的方式，投标人的投标</w:t>
      </w:r>
      <w:r>
        <w:rPr>
          <w:rFonts w:hint="eastAsia" w:cs="宋体"/>
          <w:bCs/>
          <w:color w:val="auto"/>
          <w:sz w:val="21"/>
          <w:szCs w:val="20"/>
          <w:highlight w:val="none"/>
          <w:lang w:val="en-US" w:eastAsia="zh-CN" w:bidi="ar-SA"/>
        </w:rPr>
        <w:t>单</w:t>
      </w:r>
      <w:r>
        <w:rPr>
          <w:rFonts w:hint="eastAsia" w:ascii="宋体" w:hAnsi="宋体" w:cs="宋体"/>
          <w:bCs/>
          <w:color w:val="auto"/>
          <w:sz w:val="21"/>
          <w:szCs w:val="20"/>
          <w:highlight w:val="none"/>
          <w:lang w:val="en-US" w:bidi="ar-SA"/>
        </w:rPr>
        <w:t>价不能高于最高限价，否则其报价将被认定为无效报价。</w:t>
      </w:r>
      <w:r>
        <w:rPr>
          <w:rFonts w:hint="eastAsia" w:ascii="宋体" w:hAnsi="宋体" w:cs="宋体"/>
          <w:bCs/>
          <w:color w:val="auto"/>
          <w:sz w:val="21"/>
          <w:szCs w:val="21"/>
          <w:highlight w:val="none"/>
          <w:lang w:val="en-US" w:bidi="ar-SA"/>
        </w:rPr>
        <w:t>除</w:t>
      </w:r>
      <w:r>
        <w:rPr>
          <w:rFonts w:hint="eastAsia" w:ascii="宋体" w:hAnsi="宋体" w:cs="宋体"/>
          <w:color w:val="auto"/>
          <w:sz w:val="21"/>
          <w:szCs w:val="21"/>
          <w:highlight w:val="none"/>
          <w:lang w:val="en-US" w:bidi="ar-SA"/>
        </w:rPr>
        <w:t>招标文件另有规定外，投标文件内不得含有任何对本报价进行价格折扣的说明或者资料，否则为无效投标。</w:t>
      </w:r>
    </w:p>
    <w:p>
      <w:pPr>
        <w:widowControl/>
        <w:autoSpaceDE/>
        <w:autoSpaceDN/>
        <w:spacing w:before="0" w:after="0" w:line="360" w:lineRule="auto"/>
        <w:ind w:left="0" w:right="0"/>
        <w:jc w:val="left"/>
        <w:rPr>
          <w:rFonts w:hint="eastAsia" w:ascii="宋体" w:hAnsi="宋体" w:cs="宋体"/>
          <w:color w:val="auto"/>
          <w:sz w:val="21"/>
          <w:szCs w:val="21"/>
          <w:highlight w:val="none"/>
          <w:lang w:val="en-US" w:bidi="ar-SA"/>
        </w:rPr>
      </w:pPr>
    </w:p>
    <w:p>
      <w:pPr>
        <w:widowControl/>
        <w:autoSpaceDE/>
        <w:autoSpaceDN/>
        <w:spacing w:before="0" w:after="0" w:line="360" w:lineRule="auto"/>
        <w:ind w:left="0" w:right="0"/>
        <w:jc w:val="left"/>
        <w:rPr>
          <w:rFonts w:hint="eastAsia" w:ascii="宋体" w:hAnsi="宋体" w:cs="宋体"/>
          <w:color w:val="auto"/>
          <w:sz w:val="21"/>
          <w:szCs w:val="21"/>
          <w:highlight w:val="none"/>
          <w:lang w:val="en-US" w:bidi="ar-SA"/>
        </w:rPr>
      </w:pPr>
    </w:p>
    <w:p>
      <w:pPr>
        <w:widowControl/>
        <w:autoSpaceDE/>
        <w:autoSpaceDN/>
        <w:spacing w:before="0" w:after="0" w:line="360" w:lineRule="auto"/>
        <w:ind w:left="0" w:right="0"/>
        <w:jc w:val="left"/>
        <w:rPr>
          <w:rFonts w:hint="eastAsia" w:ascii="宋体" w:hAnsi="宋体" w:cs="宋体"/>
          <w:color w:val="auto"/>
          <w:sz w:val="21"/>
          <w:szCs w:val="21"/>
          <w:highlight w:val="none"/>
          <w:lang w:val="en-US" w:bidi="ar-SA"/>
        </w:rPr>
      </w:pPr>
    </w:p>
    <w:p>
      <w:pPr>
        <w:rPr>
          <w:rFonts w:ascii="Times New Roman" w:hAnsi="Times New Roman" w:cs="Times New Roman"/>
          <w:color w:val="auto"/>
          <w:sz w:val="21"/>
          <w:szCs w:val="20"/>
          <w:highlight w:val="none"/>
          <w:lang w:val="en-US" w:bidi="ar-SA"/>
        </w:rPr>
      </w:pPr>
      <w:r>
        <w:rPr>
          <w:rFonts w:ascii="Times New Roman" w:hAnsi="Times New Roman" w:cs="Times New Roman"/>
          <w:color w:val="auto"/>
          <w:sz w:val="21"/>
          <w:szCs w:val="20"/>
          <w:highlight w:val="none"/>
          <w:lang w:val="en-US" w:bidi="ar-SA"/>
        </w:rPr>
        <w:br w:type="page"/>
      </w:r>
    </w:p>
    <w:bookmarkEnd w:id="20"/>
    <w:bookmarkEnd w:id="21"/>
    <w:bookmarkEnd w:id="22"/>
    <w:bookmarkEnd w:id="23"/>
    <w:bookmarkEnd w:id="24"/>
    <w:bookmarkEnd w:id="25"/>
    <w:bookmarkEnd w:id="26"/>
    <w:bookmarkEnd w:id="27"/>
    <w:bookmarkEnd w:id="28"/>
    <w:bookmarkEnd w:id="29"/>
    <w:bookmarkEnd w:id="30"/>
    <w:p>
      <w:pPr>
        <w:widowControl w:val="0"/>
        <w:autoSpaceDE/>
        <w:autoSpaceDN/>
        <w:spacing w:before="0" w:after="0" w:line="360" w:lineRule="auto"/>
        <w:ind w:left="0" w:right="0"/>
        <w:jc w:val="both"/>
        <w:rPr>
          <w:rFonts w:hint="eastAsia" w:ascii="宋体" w:hAnsi="宋体" w:eastAsia="宋体" w:cs="Times New Roman"/>
          <w:b/>
          <w:sz w:val="21"/>
          <w:szCs w:val="21"/>
          <w:lang w:val="en-US" w:bidi="ar-SA"/>
        </w:rPr>
      </w:pPr>
      <w:r>
        <w:rPr>
          <w:rFonts w:hint="eastAsia" w:ascii="Times New Roman" w:cs="Times New Roman"/>
          <w:b/>
          <w:bCs/>
          <w:kern w:val="2"/>
          <w:sz w:val="24"/>
          <w:szCs w:val="24"/>
          <w:lang w:val="en-US" w:eastAsia="zh-CN" w:bidi="ar-SA"/>
        </w:rPr>
        <w:t>二</w:t>
      </w:r>
      <w:r>
        <w:rPr>
          <w:rFonts w:hint="eastAsia" w:ascii="Times New Roman" w:hAnsi="宋体" w:eastAsia="宋体" w:cs="Times New Roman"/>
          <w:b/>
          <w:bCs/>
          <w:kern w:val="2"/>
          <w:sz w:val="24"/>
          <w:szCs w:val="24"/>
          <w:lang w:val="en-US" w:eastAsia="zh-CN" w:bidi="ar-SA"/>
        </w:rPr>
        <w:t>、</w:t>
      </w:r>
      <w:r>
        <w:rPr>
          <w:rFonts w:hint="eastAsia" w:ascii="Times New Roman" w:hAnsi="宋体" w:eastAsia="宋体" w:cs="Times New Roman"/>
          <w:b/>
          <w:bCs/>
          <w:kern w:val="2"/>
          <w:sz w:val="24"/>
          <w:szCs w:val="24"/>
          <w:lang w:val="en-US" w:bidi="ar-SA"/>
        </w:rPr>
        <w:t>法定代表人（或者负责人）资格证明书及授权委托书</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说明：投标人应提供法定代表人（或者负责人）身份证明复印件。</w:t>
      </w:r>
    </w:p>
    <w:tbl>
      <w:tblPr>
        <w:tblStyle w:val="16"/>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的投标活动。代理人对该项目所签署的一切文件和处理与之有关的一切事务，我均予以承认。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2.投标代表为法定代表人（或者负责人），则本委托书不需提供。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3.投标代表为法定代表人（或者负责人）授权委托人的，须提供本授权委托书及被授权人身份证明复印件，否则作无效投标处理。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说明：投标人应提供被授权人身份证明复印件。</w:t>
      </w:r>
    </w:p>
    <w:tbl>
      <w:tblPr>
        <w:tblStyle w:val="16"/>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widowControl/>
        <w:autoSpaceDE/>
        <w:autoSpaceDN/>
        <w:spacing w:before="0" w:after="0" w:line="300" w:lineRule="auto"/>
        <w:ind w:left="0" w:right="0"/>
        <w:jc w:val="left"/>
        <w:rPr>
          <w:rFonts w:hint="eastAsia" w:ascii="宋体" w:hAnsi="宋体" w:eastAsia="宋体" w:cs="宋体"/>
          <w:b/>
          <w:sz w:val="24"/>
          <w:szCs w:val="24"/>
          <w:lang w:val="en-US" w:bidi="ar-SA"/>
        </w:rPr>
      </w:pPr>
      <w:r>
        <w:rPr>
          <w:rFonts w:ascii="宋体" w:hAnsi="宋体" w:eastAsia="宋体" w:cs="Times New Roman"/>
          <w:kern w:val="2"/>
          <w:sz w:val="21"/>
          <w:szCs w:val="21"/>
          <w:lang w:val="en-US" w:bidi="ar-SA"/>
        </w:rPr>
        <w:br w:type="page"/>
      </w:r>
      <w:r>
        <w:rPr>
          <w:rFonts w:hint="eastAsia" w:cs="宋体"/>
          <w:b/>
          <w:sz w:val="24"/>
          <w:szCs w:val="24"/>
          <w:lang w:val="en-US" w:eastAsia="zh-CN" w:bidi="ar-SA"/>
        </w:rPr>
        <w:t>三</w:t>
      </w:r>
      <w:r>
        <w:rPr>
          <w:rFonts w:hint="eastAsia" w:ascii="宋体" w:hAnsi="宋体" w:eastAsia="宋体" w:cs="宋体"/>
          <w:b/>
          <w:sz w:val="24"/>
          <w:szCs w:val="24"/>
          <w:lang w:val="en-US" w:eastAsia="zh-CN" w:bidi="ar-SA"/>
        </w:rPr>
        <w:t>、</w:t>
      </w:r>
      <w:r>
        <w:rPr>
          <w:rFonts w:hint="eastAsia" w:ascii="宋体" w:hAnsi="宋体" w:eastAsia="宋体" w:cs="宋体"/>
          <w:b/>
          <w:sz w:val="24"/>
          <w:szCs w:val="24"/>
          <w:lang w:val="en-US" w:bidi="ar-SA"/>
        </w:rPr>
        <w:t>资格声明函</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t>投标人资格声明函</w:t>
      </w:r>
    </w:p>
    <w:p>
      <w:pPr>
        <w:widowControl/>
        <w:autoSpaceDE/>
        <w:autoSpaceDN/>
        <w:spacing w:before="0" w:after="0" w:line="360" w:lineRule="auto"/>
        <w:ind w:left="0" w:right="0"/>
        <w:jc w:val="left"/>
        <w:rPr>
          <w:rFonts w:ascii="宋体" w:hAnsi="宋体" w:eastAsia="宋体" w:cs="宋体"/>
          <w:sz w:val="24"/>
          <w:szCs w:val="24"/>
          <w:lang w:val="en-US" w:bidi="ar-SA"/>
        </w:rPr>
      </w:pPr>
    </w:p>
    <w:p>
      <w:pPr>
        <w:widowControl/>
        <w:autoSpaceDE/>
        <w:autoSpaceDN/>
        <w:spacing w:before="0" w:after="0" w:line="240" w:lineRule="auto"/>
        <w:ind w:left="0" w:right="0"/>
        <w:jc w:val="left"/>
        <w:rPr>
          <w:rFonts w:ascii="宋体" w:hAnsi="宋体" w:eastAsia="宋体" w:cs="宋体"/>
          <w:sz w:val="21"/>
          <w:szCs w:val="20"/>
          <w:lang w:val="en-US" w:bidi="ar-SA"/>
        </w:rPr>
      </w:pPr>
      <w:r>
        <w:rPr>
          <w:rFonts w:hint="eastAsia" w:ascii="宋体" w:hAnsi="宋体" w:eastAsia="宋体" w:cs="宋体"/>
          <w:sz w:val="21"/>
          <w:szCs w:val="20"/>
          <w:lang w:val="en-US" w:bidi="ar-SA"/>
        </w:rPr>
        <w:t>致：</w:t>
      </w:r>
      <w:r>
        <w:rPr>
          <w:rFonts w:hint="eastAsia" w:ascii="宋体" w:hAnsi="宋体" w:eastAsia="宋体" w:cs="宋体"/>
          <w:sz w:val="21"/>
          <w:szCs w:val="20"/>
          <w:u w:val="single"/>
          <w:lang w:val="en-US" w:bidi="ar-SA"/>
        </w:rPr>
        <w:t>（采购人）</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关于贵方项目名称：</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宋体"/>
          <w:sz w:val="21"/>
          <w:szCs w:val="20"/>
          <w:lang w:val="en-US" w:bidi="ar-SA"/>
        </w:rPr>
        <w:t>公告，本签字或签章人愿意参加磋商响应，提供响应文件中规定的服务，并证明提交的下列文件和说明是准确的和真实的。</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2.我方是依法注册的法人，在法律上、财务上和运作上完全独立于</w:t>
      </w:r>
      <w:r>
        <w:rPr>
          <w:rFonts w:hint="eastAsia" w:ascii="宋体" w:hAnsi="宋体" w:eastAsia="宋体" w:cs="宋体"/>
          <w:sz w:val="21"/>
          <w:szCs w:val="20"/>
          <w:u w:val="single"/>
          <w:lang w:val="en-US" w:bidi="ar-SA"/>
        </w:rPr>
        <w:t>（采购人名称）</w:t>
      </w:r>
      <w:r>
        <w:rPr>
          <w:rFonts w:hint="eastAsia" w:ascii="宋体" w:hAnsi="宋体" w:eastAsia="宋体" w:cs="宋体"/>
          <w:sz w:val="21"/>
          <w:szCs w:val="20"/>
          <w:lang w:val="en-US" w:bidi="ar-SA"/>
        </w:rPr>
        <w:t>（采购人）。</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3.满足《中华人民共和国政府釆购法》第二十二条规定。</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3.1具有独立承担民事责任的能力。</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3.2具有良好的商业信誉和健全的财务会计制度。</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3.3具有依法缴纳税收和社会保障资金的良好记录。</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3.4具有履行合同所必需的设备和专业技术能力。</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3.5参加政府采购活动前三年内，在经营活动中没有重大违法记录。</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3.6法律、行政法规规定的其他条件。</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4.单位负责人为同一人或者存在直接控股、管理关系的不同投标人，不得参加同一合同项下的政府采购活动。</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5.为采购项目提供整体设计、规范编制或者项目管理、监理、检测等服务的投标人，不得再参加该采购项目同一合同项下的其他采购活动。</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附资格文件如下：</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1）提供在中华人民共和国境内注册的法人或其他组织的营业执照或事业单位法人证书或社会团体法人登记证书复印件，如投标人为自然人的提供自然人身份证明复印件；如国家另有规定的，则从其规定，以上内容须加盖投标人公章；分支机构投标，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（2）提供有效的法定代表人/负责人/自然人资格证明书及授权委托书；</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（3）提供《中小企业声明函》或属于监狱企业的证明材料或《残疾人福利性单位声明函》；（如“申请人的资格要求”有要求时必须提供）</w:t>
      </w:r>
    </w:p>
    <w:p>
      <w:pPr>
        <w:widowControl/>
        <w:tabs>
          <w:tab w:val="left" w:pos="960"/>
        </w:tabs>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（4）投标人认为有必要提供的相关证明文件（如有）。</w:t>
      </w:r>
    </w:p>
    <w:p>
      <w:pPr>
        <w:widowControl/>
        <w:autoSpaceDE/>
        <w:autoSpaceDN/>
        <w:spacing w:before="0" w:after="0" w:line="240" w:lineRule="auto"/>
        <w:ind w:left="0" w:right="0"/>
        <w:jc w:val="left"/>
        <w:rPr>
          <w:rFonts w:ascii="Times New Roman" w:hAnsi="Times New Roman" w:eastAsia="宋体" w:cs="Times New Roman"/>
          <w:sz w:val="21"/>
          <w:szCs w:val="20"/>
          <w:lang w:val="en-US" w:bidi="ar-SA"/>
        </w:rPr>
      </w:pP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投标人授权代表签字或签章：          </w:t>
      </w: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投标人名称（加盖投标人公章）：                   </w:t>
      </w: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日期：         </w:t>
      </w:r>
    </w:p>
    <w:p>
      <w:pPr>
        <w:widowControl/>
        <w:autoSpaceDE/>
        <w:autoSpaceDN/>
        <w:spacing w:before="0" w:after="0" w:line="240" w:lineRule="auto"/>
        <w:ind w:left="0" w:right="0"/>
        <w:jc w:val="left"/>
        <w:rPr>
          <w:rFonts w:hint="eastAsia" w:ascii="宋体" w:hAnsi="宋体" w:eastAsia="宋体" w:cs="宋体"/>
          <w:b/>
          <w:sz w:val="24"/>
          <w:szCs w:val="24"/>
          <w:lang w:val="en-US" w:bidi="ar-SA"/>
        </w:rPr>
      </w:pPr>
      <w:r>
        <w:rPr>
          <w:rFonts w:ascii="Times New Roman" w:hAnsi="Times New Roman" w:eastAsia="宋体" w:cs="Times New Roman"/>
          <w:sz w:val="21"/>
          <w:szCs w:val="20"/>
          <w:lang w:val="zh-CN" w:bidi="ar-SA"/>
        </w:rPr>
        <w:br w:type="page"/>
      </w:r>
      <w:bookmarkStart w:id="42" w:name="_Toc3072"/>
      <w:r>
        <w:rPr>
          <w:rFonts w:hint="eastAsia" w:cs="宋体"/>
          <w:b/>
          <w:sz w:val="24"/>
          <w:szCs w:val="24"/>
          <w:lang w:val="en-US" w:eastAsia="zh-CN" w:bidi="ar-SA"/>
        </w:rPr>
        <w:t>四、</w:t>
      </w:r>
      <w:r>
        <w:rPr>
          <w:rFonts w:hint="eastAsia" w:ascii="宋体" w:hAnsi="宋体" w:eastAsia="宋体" w:cs="宋体"/>
          <w:b/>
          <w:sz w:val="24"/>
          <w:szCs w:val="24"/>
          <w:lang w:val="en-US" w:bidi="ar-SA"/>
        </w:rPr>
        <w:t>投标承诺书</w:t>
      </w:r>
      <w:bookmarkEnd w:id="42"/>
    </w:p>
    <w:p>
      <w:pPr>
        <w:pStyle w:val="13"/>
        <w:widowControl/>
        <w:autoSpaceDE/>
        <w:autoSpaceDN/>
        <w:spacing w:before="0" w:after="0"/>
        <w:ind w:left="0" w:right="0"/>
        <w:rPr>
          <w:rFonts w:hint="eastAsia" w:hAnsi="宋体" w:eastAsia="宋体" w:cs="宋体"/>
        </w:rPr>
      </w:pPr>
      <w:r>
        <w:rPr>
          <w:rFonts w:hint="eastAsia" w:hAnsi="宋体" w:eastAsia="宋体" w:cs="宋体"/>
        </w:rPr>
        <w:t>投标承诺书</w:t>
      </w:r>
    </w:p>
    <w:p>
      <w:pPr>
        <w:widowControl/>
        <w:tabs>
          <w:tab w:val="left" w:pos="3960"/>
        </w:tabs>
        <w:autoSpaceDE/>
        <w:autoSpaceDN/>
        <w:spacing w:before="0" w:after="0" w:line="480" w:lineRule="exact"/>
        <w:ind w:left="0" w:right="0"/>
        <w:jc w:val="center"/>
        <w:rPr>
          <w:rFonts w:hint="eastAsia" w:ascii="宋体" w:hAnsi="宋体" w:eastAsia="宋体" w:cs="宋体"/>
          <w:sz w:val="24"/>
          <w:szCs w:val="24"/>
          <w:lang w:val="en-US" w:bidi="ar-SA"/>
        </w:rPr>
      </w:pPr>
    </w:p>
    <w:p>
      <w:pPr>
        <w:widowControl/>
        <w:autoSpaceDE/>
        <w:autoSpaceDN/>
        <w:spacing w:before="0" w:after="120" w:afterLines="50" w:line="360" w:lineRule="auto"/>
        <w:ind w:left="0" w:right="0"/>
        <w:jc w:val="left"/>
        <w:rPr>
          <w:rFonts w:hint="eastAsia" w:ascii="宋体" w:hAnsi="宋体" w:eastAsia="宋体" w:cs="宋体"/>
          <w:b/>
          <w:sz w:val="21"/>
          <w:szCs w:val="21"/>
          <w:u w:val="single"/>
          <w:lang w:val="en-US" w:bidi="ar-SA"/>
        </w:rPr>
      </w:pPr>
      <w:r>
        <w:rPr>
          <w:rFonts w:hint="eastAsia" w:ascii="宋体" w:hAnsi="宋体" w:eastAsia="宋体" w:cs="宋体"/>
          <w:b/>
          <w:sz w:val="21"/>
          <w:szCs w:val="21"/>
          <w:u w:val="single"/>
          <w:lang w:val="en-US" w:bidi="ar-SA"/>
        </w:rPr>
        <w:t>珠海市香洲区第二人民医院：</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本投标人已详细阅读了</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宋体"/>
          <w:sz w:val="21"/>
          <w:szCs w:val="21"/>
          <w:lang w:val="en-US" w:bidi="ar-SA"/>
        </w:rPr>
        <w:t>招标文件，自愿参加上述项目投标，现就有关事项向采购人郑重承诺如下：</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1.本投标人自愿在</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规定的时限内按照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w:t>
      </w:r>
      <w:r>
        <w:rPr>
          <w:rFonts w:hint="eastAsia" w:ascii="Times New Roman" w:hAnsi="宋体" w:eastAsia="宋体" w:cs="宋体"/>
          <w:sz w:val="21"/>
          <w:szCs w:val="21"/>
          <w:lang w:val="en-US" w:bidi="ar-SA"/>
        </w:rPr>
        <w:t>用户需求书</w:t>
      </w:r>
      <w:r>
        <w:rPr>
          <w:rFonts w:hint="eastAsia" w:ascii="宋体" w:hAnsi="宋体" w:eastAsia="宋体" w:cs="宋体"/>
          <w:sz w:val="21"/>
          <w:szCs w:val="21"/>
          <w:lang w:val="en-US" w:bidi="ar-SA"/>
        </w:rPr>
        <w:t>、技术规范等要求完成采购任务，按时完成并验收合格。服务质量按照投标文件的承诺并满足</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2.保证投标文件内容无任何虚假。若评标过程中查出有虚假，同意作无效投标文件处理并被没收投标担保，若中标之后查出有虚假，同意废除中标资格并被没收投标担保。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3</w:t>
      </w:r>
      <w:r>
        <w:rPr>
          <w:rFonts w:hint="eastAsia" w:ascii="宋体" w:hAnsi="宋体" w:eastAsia="宋体" w:cs="宋体"/>
          <w:sz w:val="21"/>
          <w:szCs w:val="21"/>
          <w:lang w:val="en-US" w:bidi="ar-SA"/>
        </w:rPr>
        <w:t>.保证投标文件不存在低于成本的恶意报价行为。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4</w:t>
      </w:r>
      <w:r>
        <w:rPr>
          <w:rFonts w:hint="eastAsia" w:ascii="宋体" w:hAnsi="宋体" w:eastAsia="宋体" w:cs="宋体"/>
          <w:sz w:val="21"/>
          <w:szCs w:val="21"/>
          <w:lang w:val="en-US" w:bidi="ar-SA"/>
        </w:rPr>
        <w:t>.保证按照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及中标通知书规定提交履约保证金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并商签采购合同，对</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第五部分“合同文本”中的条款项下的内容完全响应，不作任何的偏离。否则，同意接受采购人违约处罚并被没收投标担保。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5</w:t>
      </w:r>
      <w:r>
        <w:rPr>
          <w:rFonts w:hint="eastAsia" w:ascii="宋体" w:hAnsi="宋体" w:eastAsia="宋体" w:cs="宋体"/>
          <w:sz w:val="21"/>
          <w:szCs w:val="21"/>
          <w:lang w:val="en-US" w:bidi="ar-SA"/>
        </w:rPr>
        <w:t>.保证按照采购合同约定完成采购合同范围内的全部内容。否则，同意接受采购人对投标人违约处理并被没收履约保证金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6</w:t>
      </w:r>
      <w:r>
        <w:rPr>
          <w:rFonts w:hint="eastAsia" w:ascii="宋体" w:hAnsi="宋体" w:eastAsia="宋体" w:cs="宋体"/>
          <w:sz w:val="21"/>
          <w:szCs w:val="21"/>
          <w:lang w:val="en-US" w:bidi="ar-SA"/>
        </w:rPr>
        <w:t>.保证中标之后不转包，若分包将征得采购人同意并遵守相关法律法规。</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7</w:t>
      </w:r>
      <w:r>
        <w:rPr>
          <w:rFonts w:hint="eastAsia" w:ascii="宋体" w:hAnsi="宋体" w:eastAsia="宋体" w:cs="宋体"/>
          <w:sz w:val="21"/>
          <w:szCs w:val="21"/>
          <w:lang w:val="en-US" w:bidi="ar-SA"/>
        </w:rPr>
        <w:t>.保证中标之后按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要求向招标项目配置承诺的资源，否则，同意接受违约处罚并被没收履约担保。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8</w:t>
      </w:r>
      <w:r>
        <w:rPr>
          <w:rFonts w:hint="eastAsia" w:ascii="宋体" w:hAnsi="宋体" w:eastAsia="宋体" w:cs="宋体"/>
          <w:sz w:val="21"/>
          <w:szCs w:val="21"/>
          <w:lang w:val="en-US" w:bidi="ar-SA"/>
        </w:rPr>
        <w:t>.保证中标之后密切配合采购人开展工作，接受采购人的监督管理。</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9</w:t>
      </w:r>
      <w:r>
        <w:rPr>
          <w:rFonts w:hint="eastAsia" w:ascii="宋体" w:hAnsi="宋体" w:eastAsia="宋体" w:cs="宋体"/>
          <w:sz w:val="21"/>
          <w:szCs w:val="21"/>
          <w:lang w:val="en-US" w:bidi="ar-SA"/>
        </w:rPr>
        <w:t>.保证按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及采购合同约定的原则处理采购调整事宜，不发生签署采购合同之后恶意索赔的行为。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本投标人在规定的投标有效期限内，将受</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的约束并履行投标文件的承诺。</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投标人代表签字或者签章：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投标人名称（加盖公章）：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年</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月</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日</w:t>
      </w:r>
    </w:p>
    <w:p>
      <w:pPr>
        <w:widowControl w:val="0"/>
        <w:ind w:left="0" w:leftChars="0" w:firstLine="0" w:firstLineChars="0"/>
        <w:jc w:val="both"/>
        <w:rPr>
          <w:rFonts w:hint="eastAsia" w:ascii="宋体" w:hAnsi="宋体" w:cs="宋体"/>
          <w:b/>
          <w:bCs/>
          <w:sz w:val="24"/>
          <w:szCs w:val="24"/>
        </w:rPr>
      </w:pPr>
      <w:r>
        <w:rPr>
          <w:rFonts w:hint="eastAsia" w:ascii="Times New Roman" w:hAnsi="Times New Roman" w:eastAsia="宋体" w:cs="Times New Roman"/>
          <w:sz w:val="16"/>
          <w:szCs w:val="16"/>
          <w:lang w:val="en-US" w:eastAsia="zh-CN" w:bidi="ar-SA"/>
        </w:rPr>
        <w:br w:type="page"/>
      </w:r>
    </w:p>
    <w:p>
      <w:pPr>
        <w:pStyle w:val="26"/>
        <w:snapToGrid w:val="0"/>
        <w:spacing w:after="240" w:afterLines="100" w:line="360" w:lineRule="auto"/>
        <w:jc w:val="both"/>
        <w:rPr>
          <w:rFonts w:hint="eastAsia" w:ascii="宋体" w:hAnsi="宋体" w:eastAsia="宋体" w:cs="宋体"/>
          <w:b/>
          <w:sz w:val="24"/>
          <w:szCs w:val="24"/>
          <w:lang w:val="en-US" w:eastAsia="zh-CN" w:bidi="ar-SA"/>
        </w:rPr>
      </w:pPr>
      <w:bookmarkStart w:id="43" w:name="_Toc3313"/>
      <w:r>
        <w:rPr>
          <w:rFonts w:hint="eastAsia" w:cs="宋体"/>
          <w:b/>
          <w:sz w:val="24"/>
          <w:szCs w:val="24"/>
          <w:lang w:val="en-US" w:eastAsia="zh-CN" w:bidi="ar-SA"/>
        </w:rPr>
        <w:t>五</w:t>
      </w:r>
      <w:r>
        <w:rPr>
          <w:rFonts w:hint="eastAsia" w:ascii="宋体" w:hAnsi="宋体" w:eastAsia="宋体" w:cs="宋体"/>
          <w:b/>
          <w:sz w:val="24"/>
          <w:szCs w:val="24"/>
          <w:lang w:val="en-US" w:eastAsia="zh-CN" w:bidi="ar-SA"/>
        </w:rPr>
        <w:t>、</w:t>
      </w:r>
      <w:r>
        <w:rPr>
          <w:rFonts w:hint="eastAsia" w:ascii="宋体" w:hAnsi="宋体" w:eastAsia="宋体" w:cs="宋体"/>
          <w:sz w:val="24"/>
          <w:szCs w:val="24"/>
        </w:rPr>
        <w:t>中小企业声明函</w:t>
      </w:r>
      <w:r>
        <w:rPr>
          <w:rFonts w:hint="eastAsia" w:ascii="宋体" w:hAnsi="宋体" w:eastAsia="宋体" w:cs="宋体"/>
          <w:b/>
          <w:sz w:val="24"/>
          <w:szCs w:val="24"/>
          <w:lang w:val="en-US" w:eastAsia="zh-CN" w:bidi="ar-SA"/>
        </w:rPr>
        <w:t>（以下格式文件由投标人根据需要选用）</w:t>
      </w:r>
      <w:bookmarkEnd w:id="43"/>
    </w:p>
    <w:p>
      <w:pPr>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中小企业声明函（货物）</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（项目名称）</w:t>
      </w:r>
      <w:r>
        <w:rPr>
          <w:rFonts w:hint="eastAsia" w:ascii="宋体" w:hAnsi="宋体" w:eastAsia="宋体" w:cs="宋体"/>
          <w:sz w:val="22"/>
          <w:szCs w:val="22"/>
        </w:rPr>
        <w:t>采购活动，提供的货物全部由符合政策要求的中小企业制造。相关企业（含联合体中的中小企业、签订分包意向协议的中小企业）的具体情况如下：</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1.（标的名称），属于（磋商文件中明确的所属行业）行业；制造商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2.（标的名称），属于（磋商文件中明确的所属行业）行业；制造商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企业名称（盖章）：__________________</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日  期：__________________</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1：从业人员、营业收入、资产总额填报上一年度数据，无上一年度数据的新成立企业可不填报。</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中小企业声明函（承建本项目工程为中小企业或者承接本项目服务为中小企业时提交本函，所属行业应符合磋商文件中明确的本项目所属行业）</w:t>
      </w:r>
    </w:p>
    <w:p>
      <w:pPr>
        <w:rPr>
          <w:rFonts w:hint="eastAsia" w:ascii="宋体" w:hAnsi="宋体" w:eastAsia="宋体" w:cs="宋体"/>
          <w:sz w:val="22"/>
          <w:szCs w:val="22"/>
        </w:rPr>
      </w:pPr>
      <w:r>
        <w:rPr>
          <w:rFonts w:hint="eastAsia" w:ascii="宋体" w:hAnsi="宋体" w:eastAsia="宋体" w:cs="宋体"/>
          <w:sz w:val="22"/>
          <w:szCs w:val="22"/>
        </w:rPr>
        <w:br w:type="page"/>
      </w:r>
    </w:p>
    <w:p>
      <w:pPr>
        <w:spacing w:line="360" w:lineRule="auto"/>
        <w:jc w:val="center"/>
        <w:rPr>
          <w:rFonts w:hint="eastAsia" w:ascii="宋体" w:hAnsi="宋体" w:eastAsia="宋体" w:cs="宋体"/>
          <w:b/>
          <w:sz w:val="24"/>
          <w:szCs w:val="24"/>
        </w:rPr>
      </w:pPr>
    </w:p>
    <w:p>
      <w:pPr>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中小企业声明函（工程、服务）</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（项目名称）</w:t>
      </w:r>
      <w:r>
        <w:rPr>
          <w:rFonts w:hint="eastAsia" w:ascii="宋体" w:hAnsi="宋体" w:eastAsia="宋体" w:cs="宋体"/>
          <w:sz w:val="22"/>
          <w:szCs w:val="22"/>
        </w:rPr>
        <w:t>采购活动，工程的施工单位全部为符合政策要求的中小企业（或者：服务全部由符合政策要求的中小企业承接）。相关企业（含联合体中的中小企业、签订分包意向协议的中小企业）的具体情况如下：</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1.（标的名称），属于（磋商文件中明确的所属行业）行业；承建（承接）企业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2.（标的名称），属于（磋商文件中明确的所属行业）行业；承建（承接）企业为（企业名称），从业人员__________________人，营业收入为__________________万元，资产总额为__________________万元1，属于（中型企业、小型企业、微型企业）；</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企业名称（盖章）：__________________</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日  期：__________________</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1：从业人员、营业收入、资产总额填报上一年度数据，无上一年度数据的新成立企业可不填报。</w:t>
      </w:r>
    </w:p>
    <w:p>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2：供应商应当自行核实是否属于小微企业，并认真填写声明函，若有虚假将追究其责任。</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21"/>
        <w:rPr>
          <w:rFonts w:hint="eastAsia" w:ascii="宋体" w:hAnsi="Times New Roman" w:cs="宋体"/>
          <w:b/>
          <w:bCs/>
          <w:color w:val="000000"/>
          <w:szCs w:val="24"/>
          <w:highlight w:val="none"/>
        </w:rPr>
      </w:pPr>
      <w:r>
        <w:rPr>
          <w:rFonts w:hint="eastAsia" w:cs="宋体"/>
          <w:b/>
          <w:bCs/>
          <w:color w:val="000000"/>
          <w:szCs w:val="24"/>
          <w:lang w:val="en-US" w:eastAsia="zh-CN"/>
        </w:rPr>
        <w:t>六、投标人认为有必要提供的其他资料。</w:t>
      </w:r>
    </w:p>
    <w:p>
      <w:pPr>
        <w:rPr>
          <w:rFonts w:hint="eastAsia"/>
        </w:rPr>
      </w:pPr>
    </w:p>
    <w:p>
      <w:pPr>
        <w:rPr>
          <w:rFonts w:hint="eastAsia"/>
        </w:rPr>
      </w:pPr>
    </w:p>
    <w:p>
      <w:pPr>
        <w:rPr>
          <w:rFonts w:hint="eastAsia"/>
        </w:rPr>
      </w:pPr>
    </w:p>
    <w:p>
      <w:pPr>
        <w:rPr>
          <w:rFonts w:hint="eastAsia"/>
        </w:rPr>
      </w:pPr>
    </w:p>
    <w:p>
      <w:pPr>
        <w:adjustRightInd w:val="0"/>
        <w:snapToGrid w:val="0"/>
        <w:spacing w:line="360" w:lineRule="auto"/>
        <w:rPr>
          <w:rFonts w:hint="eastAsia" w:ascii="宋体" w:hAnsi="宋体" w:cs="宋体"/>
          <w:szCs w:val="21"/>
        </w:rPr>
      </w:pPr>
      <w:r>
        <w:rPr>
          <w:rFonts w:hint="eastAsia" w:ascii="宋体" w:hAnsi="宋体" w:cs="宋体"/>
          <w:szCs w:val="21"/>
        </w:rPr>
        <w:t>投标人代表签字或者签章：</w:t>
      </w:r>
    </w:p>
    <w:p>
      <w:pPr>
        <w:adjustRightInd w:val="0"/>
        <w:snapToGrid w:val="0"/>
        <w:spacing w:line="360" w:lineRule="auto"/>
        <w:rPr>
          <w:rFonts w:hint="eastAsia" w:ascii="宋体" w:hAnsi="宋体" w:cs="宋体"/>
          <w:szCs w:val="21"/>
        </w:rPr>
      </w:pPr>
      <w:r>
        <w:rPr>
          <w:rFonts w:hint="eastAsia" w:ascii="宋体" w:hAnsi="宋体" w:cs="宋体"/>
          <w:szCs w:val="21"/>
        </w:rPr>
        <w:t>投标人名称（加盖公章）：</w:t>
      </w:r>
    </w:p>
    <w:p>
      <w:pPr>
        <w:adjustRightInd w:val="0"/>
        <w:snapToGrid w:val="0"/>
        <w:spacing w:line="360" w:lineRule="auto"/>
        <w:rPr>
          <w:rFonts w:hint="eastAsia" w:ascii="宋体" w:hAnsi="宋体" w:cs="宋体"/>
          <w:szCs w:val="21"/>
        </w:rPr>
      </w:pPr>
      <w:r>
        <w:rPr>
          <w:rFonts w:hint="eastAsia" w:ascii="宋体" w:hAnsi="宋体" w:cs="宋体"/>
          <w:szCs w:val="21"/>
        </w:rPr>
        <w:t>日期：年 月 日</w:t>
      </w:r>
    </w:p>
    <w:p>
      <w:pPr>
        <w:tabs>
          <w:tab w:val="left" w:pos="851"/>
        </w:tabs>
        <w:rPr>
          <w:rFonts w:hint="eastAsia" w:ascii="宋体" w:hAnsi="宋体" w:cs="宋体"/>
          <w:sz w:val="24"/>
          <w:szCs w:val="24"/>
        </w:rPr>
        <w:sectPr>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bookmarkStart w:id="44" w:name="_Toc56615725"/>
      <w:bookmarkStart w:id="45" w:name="_Toc28351"/>
      <w:r>
        <w:rPr>
          <w:rFonts w:hint="eastAsia" w:ascii="宋体" w:hAnsi="宋体" w:eastAsia="宋体" w:cs="宋体"/>
          <w:b/>
          <w:color w:val="auto"/>
          <w:sz w:val="36"/>
          <w:szCs w:val="44"/>
          <w:highlight w:val="none"/>
          <w:lang w:val="en-US" w:eastAsia="zh-CN" w:bidi="ar-SA"/>
        </w:rPr>
        <w:t>第六部分  投标人须知</w:t>
      </w:r>
      <w:bookmarkEnd w:id="44"/>
      <w:bookmarkEnd w:id="45"/>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46" w:name="_Toc276645574"/>
      <w:bookmarkStart w:id="47" w:name="_Toc435345599"/>
      <w:bookmarkStart w:id="48" w:name="_Toc259090934"/>
      <w:bookmarkStart w:id="49" w:name="_Toc453844574"/>
      <w:bookmarkStart w:id="50" w:name="_Toc7628"/>
      <w:r>
        <w:rPr>
          <w:rFonts w:hint="eastAsia" w:ascii="宋体" w:hAnsi="宋体" w:eastAsia="宋体" w:cs="宋体"/>
          <w:b/>
          <w:bCs/>
          <w:color w:val="auto"/>
          <w:kern w:val="2"/>
          <w:sz w:val="21"/>
          <w:szCs w:val="21"/>
          <w:highlight w:val="none"/>
          <w:lang w:val="en-US" w:bidi="ar-SA"/>
        </w:rPr>
        <w:t>一、说  明</w:t>
      </w:r>
      <w:bookmarkEnd w:id="46"/>
      <w:bookmarkEnd w:id="47"/>
      <w:bookmarkEnd w:id="48"/>
      <w:bookmarkEnd w:id="49"/>
      <w:bookmarkEnd w:id="50"/>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51" w:name="_Toc259090935"/>
      <w:bookmarkStart w:id="52" w:name="_Toc435345600"/>
      <w:bookmarkStart w:id="53" w:name="_Toc453844575"/>
      <w:r>
        <w:rPr>
          <w:rFonts w:hint="eastAsia" w:ascii="宋体" w:hAnsi="宋体" w:eastAsia="宋体" w:cs="宋体"/>
          <w:b/>
          <w:bCs/>
          <w:color w:val="auto"/>
          <w:kern w:val="2"/>
          <w:sz w:val="21"/>
          <w:szCs w:val="21"/>
          <w:highlight w:val="none"/>
          <w:lang w:val="en-US" w:bidi="ar-SA"/>
        </w:rPr>
        <w:t>1．适用范围</w:t>
      </w:r>
      <w:bookmarkEnd w:id="51"/>
      <w:bookmarkEnd w:id="52"/>
      <w:bookmarkEnd w:id="53"/>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1.1本招标文件适用于《投标人须知前附表》所述项目。</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54" w:name="_Toc453844576"/>
      <w:bookmarkStart w:id="55" w:name="_Toc259090936"/>
      <w:bookmarkStart w:id="56" w:name="_Toc435345601"/>
      <w:r>
        <w:rPr>
          <w:rFonts w:hint="eastAsia" w:ascii="宋体" w:hAnsi="宋体" w:eastAsia="宋体" w:cs="宋体"/>
          <w:b/>
          <w:bCs/>
          <w:color w:val="auto"/>
          <w:kern w:val="2"/>
          <w:sz w:val="21"/>
          <w:szCs w:val="21"/>
          <w:highlight w:val="none"/>
          <w:lang w:val="en-US" w:bidi="ar-SA"/>
        </w:rPr>
        <w:t>2．定义</w:t>
      </w:r>
      <w:bookmarkEnd w:id="54"/>
      <w:bookmarkEnd w:id="55"/>
      <w:bookmarkEnd w:id="56"/>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2.1“采购人”是指《投标人须知前附表》列明的、获得资金的国家机关、企事业单位、团体组织或者其他社会组织。</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2.2“采购代理机构”是指：无。</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2.3“招标采购单位”是指：采购人或采购代理机构。</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2.4“投标人”是指：向采购人提供货物、工程、服务的法人、其他组织或者自然人。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2.5“货物”是指：各种形态和种类的物品，包括原材料、燃料、设备、产品等。</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2.6“服务”是指：货物和工程以外的其他采购对象。</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2.7合格的投标人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2.7.1符合招标文件资格规定的投标人。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2.7.2符合《投标人须知前附表》所列资格要求的投标人。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2.8合格的货物</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2.8.1投标人提供所有货物必须是全新的、未使用过的货物。</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2.8.2国产的货物及其有关服务必须符合中华人民共和国的设计和制造的国家及行业标准、强制性规范。</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2.8.3进口的货物及其有关服务必须符合原产地和/或者中华人民共和国的设计和制造生产或者行业标准，具有合法的进口手续和途径，并通过了进口检验检疫主管部门的检验。</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2.8.4除非“投标须知前附表”中允许，否则不允许以进口产品参加投标。</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2.8.5投标人应保证，采购人在中华人民共和国使用该货物或者货物的任何一部分时，免受第三方提出的侵犯其专利权、商标权、著作权或者其他知识产权的起诉。</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2.8.6满足《投标人须知前附表》所列其他要求。</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2.9合格的服务：满足《投标人须知前附表》所列要求。</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2.10“中标人”是指经法定程序确定并授予合同的投标人。</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57" w:name="_Toc259090939"/>
      <w:bookmarkStart w:id="58" w:name="_Toc453844578"/>
      <w:bookmarkStart w:id="59" w:name="_Toc435345603"/>
      <w:bookmarkStart w:id="60" w:name="_Toc680"/>
      <w:r>
        <w:rPr>
          <w:rFonts w:hint="eastAsia" w:ascii="宋体" w:hAnsi="宋体" w:eastAsia="宋体" w:cs="宋体"/>
          <w:b/>
          <w:bCs/>
          <w:color w:val="auto"/>
          <w:kern w:val="2"/>
          <w:sz w:val="21"/>
          <w:szCs w:val="21"/>
          <w:highlight w:val="none"/>
          <w:lang w:val="en-US" w:bidi="ar-SA"/>
        </w:rPr>
        <w:t>二、</w:t>
      </w:r>
      <w:bookmarkEnd w:id="57"/>
      <w:bookmarkEnd w:id="58"/>
      <w:bookmarkEnd w:id="59"/>
      <w:bookmarkEnd w:id="60"/>
      <w:r>
        <w:rPr>
          <w:rFonts w:hint="eastAsia" w:ascii="宋体" w:hAnsi="宋体" w:eastAsia="宋体" w:cs="宋体"/>
          <w:b/>
          <w:bCs/>
          <w:color w:val="auto"/>
          <w:kern w:val="2"/>
          <w:sz w:val="21"/>
          <w:szCs w:val="21"/>
          <w:highlight w:val="none"/>
          <w:lang w:val="en-US" w:bidi="ar-SA"/>
        </w:rPr>
        <w:t>招标文件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61" w:name="_Toc259090940"/>
      <w:bookmarkStart w:id="62" w:name="_Toc453844579"/>
      <w:bookmarkStart w:id="63" w:name="_Toc435345604"/>
      <w:r>
        <w:rPr>
          <w:rFonts w:hint="eastAsia" w:ascii="宋体" w:hAnsi="宋体" w:eastAsia="宋体" w:cs="宋体"/>
          <w:b/>
          <w:bCs/>
          <w:color w:val="auto"/>
          <w:kern w:val="2"/>
          <w:sz w:val="21"/>
          <w:szCs w:val="21"/>
          <w:highlight w:val="none"/>
          <w:lang w:val="en-US" w:bidi="ar-SA"/>
        </w:rPr>
        <w:t>3．招标文件的构成</w:t>
      </w:r>
      <w:bookmarkEnd w:id="61"/>
      <w:bookmarkEnd w:id="62"/>
      <w:bookmarkEnd w:id="63"/>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3.1招标文件由下列文件以及在招标过程中发出的修正和补充文件组成：</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招标公告</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用户需求书</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投标人须知前附表</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 评标方法与标准</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5） </w:t>
      </w:r>
      <w:r>
        <w:rPr>
          <w:rFonts w:hint="eastAsia" w:ascii="宋体" w:hAnsi="宋体" w:eastAsia="宋体" w:cs="宋体"/>
          <w:color w:val="auto"/>
          <w:sz w:val="21"/>
          <w:szCs w:val="21"/>
          <w:highlight w:val="none"/>
          <w:lang w:val="en-US" w:bidi="ar-SA"/>
        </w:rPr>
        <w:t>合同文本</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6） 投标文件格式</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 xml:space="preserve">7） </w:t>
      </w:r>
      <w:r>
        <w:rPr>
          <w:rFonts w:hint="eastAsia" w:ascii="宋体" w:hAnsi="宋体" w:eastAsia="宋体" w:cs="宋体"/>
          <w:color w:val="auto"/>
          <w:kern w:val="2"/>
          <w:sz w:val="21"/>
          <w:szCs w:val="21"/>
          <w:highlight w:val="none"/>
          <w:lang w:val="en-US" w:bidi="ar-SA"/>
        </w:rPr>
        <w:t>投标人须知</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 在招标过程中由招标采购单位发出的修正和补充文件等</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3.2投标人应认真阅读、并充分理解招标文件的全部内容（包括所有的补充、修改内容、重要事项、格式、条款和技术规范、参数及要求等）。投标人没有按照招标文件要求提交全部资料，或者投标没有对招标文件在各方面都作出实质性响应是投标人的风险，有可能导致其投标被拒绝，或者被认定为无效投标或者被确定为投标无效。</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3.3投标人向本招标文件中所述的采购人咨询的有关本招标项目事项，一切以法律法规的规定和本公司书面答复为准，其他一切形式均为个人意见，不代表本</w:t>
      </w:r>
      <w:r>
        <w:rPr>
          <w:rFonts w:hint="eastAsia" w:ascii="宋体" w:hAnsi="宋体" w:eastAsia="宋体" w:cs="宋体"/>
          <w:color w:val="auto"/>
          <w:kern w:val="2"/>
          <w:sz w:val="21"/>
          <w:szCs w:val="21"/>
          <w:highlight w:val="none"/>
          <w:lang w:val="en-US" w:eastAsia="zh-CN" w:bidi="ar-SA"/>
        </w:rPr>
        <w:t>单位</w:t>
      </w:r>
      <w:r>
        <w:rPr>
          <w:rFonts w:hint="eastAsia" w:ascii="宋体" w:hAnsi="宋体" w:eastAsia="宋体" w:cs="宋体"/>
          <w:color w:val="auto"/>
          <w:kern w:val="2"/>
          <w:sz w:val="21"/>
          <w:szCs w:val="21"/>
          <w:highlight w:val="none"/>
          <w:lang w:val="en-US" w:bidi="ar-SA"/>
        </w:rPr>
        <w:t>的意见。</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64" w:name="_Toc453844580"/>
      <w:bookmarkStart w:id="65" w:name="_Toc435345605"/>
      <w:bookmarkStart w:id="66" w:name="_Toc259090941"/>
      <w:r>
        <w:rPr>
          <w:rFonts w:hint="eastAsia" w:ascii="宋体" w:hAnsi="宋体" w:eastAsia="宋体" w:cs="宋体"/>
          <w:b/>
          <w:bCs/>
          <w:color w:val="auto"/>
          <w:kern w:val="2"/>
          <w:sz w:val="21"/>
          <w:szCs w:val="21"/>
          <w:highlight w:val="none"/>
          <w:lang w:val="en-US" w:bidi="ar-SA"/>
        </w:rPr>
        <w:t>4．招标文件的澄清或者修改</w:t>
      </w:r>
      <w:bookmarkEnd w:id="64"/>
      <w:bookmarkEnd w:id="65"/>
      <w:bookmarkEnd w:id="66"/>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4.1招标文件的澄清是指采购人对招标文件中的遗漏、错误、词义表达不清或者对比较复杂的事项进行说明，回答投标人提出的各种问题。招标文件的修改是指采购人或者采购人对招标文件中出现的错误进行修订。投标截止期前的任何时候，无论出于何种原因，采购人可主动的或者在解答投标人提出的澄清问题时对招标文件进行修改，但不得改变采购标的和资格条件。澄清或者修改应当在原公告发布媒体上发布澄清公告。澄清或者修改的内容为招标文件的组成部分。</w:t>
      </w:r>
    </w:p>
    <w:p>
      <w:pPr>
        <w:keepLines/>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4.2任何要求对招标文件进行澄清的投标人，均应以书面形式通知招标采购单位。招标采购单位对其收到的对招标文件的书面澄清要求均以书面形式予以答复，同时将书面答复发给每个获取招标文件的投标人（答复中不包括问题的来源）。投标人在收到上述答复后，应立即向招标采购单位回函确认。该答复作为招标文件的一部分，对投标人有约束力。</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4.3招标文件的修改将以书面形式通知所有获取招标文件的投标人，并对其具有约束力。投标人在收到修改通知后，应立即向招标采购单位回函确认。</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4.4采购人对已发出的招标文件进行必要的澄清或者修改的，应当在招标文件要求提交投标文件截止时间至少十五个日历日前，以书面形式通知所有招标文件收受人。该澄清或者修改的内容为招标文件的组成部分。采购人修改招标文件之日起至投标截止期少于十五个日历日的，采购人或者采购代理机构应当顺延提交投标文件的截止时间，将变更时间书面通知所有招标文件收受人。</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4.5采购人或者采购代理机构将澄清（更正/变更）公告通知成功购买招标文件的投标人，投标人在收到澄清或者修改（更正/变更）通知后，应按要求以书面形式向采购人或者采购代理机构确认。如在24小时之内无书面确认则视为已收悉，并有责任履行相应的义务。</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67" w:name="_Toc453844581"/>
      <w:bookmarkStart w:id="68" w:name="_Toc435345606"/>
      <w:bookmarkStart w:id="69" w:name="_Toc31675"/>
      <w:bookmarkStart w:id="70" w:name="_Toc259090942"/>
      <w:r>
        <w:rPr>
          <w:rFonts w:hint="eastAsia" w:ascii="宋体" w:hAnsi="宋体" w:eastAsia="宋体" w:cs="宋体"/>
          <w:b/>
          <w:bCs/>
          <w:color w:val="auto"/>
          <w:kern w:val="2"/>
          <w:sz w:val="21"/>
          <w:szCs w:val="21"/>
          <w:highlight w:val="none"/>
          <w:lang w:val="en-US" w:bidi="ar-SA"/>
        </w:rPr>
        <w:t>三、投标文件的编制</w:t>
      </w:r>
      <w:bookmarkEnd w:id="67"/>
      <w:bookmarkEnd w:id="68"/>
      <w:bookmarkEnd w:id="69"/>
      <w:bookmarkEnd w:id="70"/>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1" w:name="_Toc259090943"/>
      <w:bookmarkStart w:id="72" w:name="_Toc453844582"/>
      <w:bookmarkStart w:id="73" w:name="_Toc435345607"/>
      <w:r>
        <w:rPr>
          <w:rFonts w:hint="eastAsia" w:ascii="宋体" w:hAnsi="宋体" w:eastAsia="宋体" w:cs="宋体"/>
          <w:b/>
          <w:bCs/>
          <w:color w:val="auto"/>
          <w:kern w:val="2"/>
          <w:sz w:val="21"/>
          <w:szCs w:val="21"/>
          <w:highlight w:val="none"/>
          <w:lang w:val="en-US" w:bidi="ar-SA"/>
        </w:rPr>
        <w:t>5．投标的语言</w:t>
      </w:r>
      <w:bookmarkEnd w:id="71"/>
      <w:r>
        <w:rPr>
          <w:rFonts w:hint="eastAsia" w:ascii="宋体" w:hAnsi="宋体" w:eastAsia="宋体" w:cs="宋体"/>
          <w:b/>
          <w:bCs/>
          <w:color w:val="auto"/>
          <w:kern w:val="2"/>
          <w:sz w:val="21"/>
          <w:szCs w:val="21"/>
          <w:highlight w:val="none"/>
          <w:lang w:val="en-US" w:bidi="ar-SA"/>
        </w:rPr>
        <w:t>及计量</w:t>
      </w:r>
      <w:bookmarkEnd w:id="72"/>
      <w:bookmarkEnd w:id="73"/>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5.1投标人提交的投标文件以及投标人与（招标采购单位）就有关投标的所有来往函电均应使用中文。投标人提交的支持文件或者印刷的资料可以用另一种语言，但相应内容应附有中文翻译本，在解释投标文件的修改内容时以中文翻译本为准。对中文翻译有异议的，以权威机构的译本为准。</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5.2除非招标文件中另有规定，投标人在投标文件中及其与招标采购单位的所有往来文件中的计量单位均应采用中华人民共和国法定计量单位。</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4" w:name="_Toc453844583"/>
      <w:bookmarkStart w:id="75" w:name="_Toc435345608"/>
      <w:bookmarkStart w:id="76" w:name="_Toc259090944"/>
      <w:r>
        <w:rPr>
          <w:rFonts w:hint="eastAsia" w:ascii="宋体" w:hAnsi="宋体" w:eastAsia="宋体" w:cs="宋体"/>
          <w:b/>
          <w:bCs/>
          <w:color w:val="auto"/>
          <w:kern w:val="2"/>
          <w:sz w:val="21"/>
          <w:szCs w:val="21"/>
          <w:highlight w:val="none"/>
          <w:lang w:val="en-US" w:bidi="ar-SA"/>
        </w:rPr>
        <w:t>6．投标文件的构成</w:t>
      </w:r>
      <w:bookmarkEnd w:id="74"/>
      <w:bookmarkEnd w:id="75"/>
      <w:bookmarkEnd w:id="76"/>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6.1投标文件的构成应符合法律法规及招标文件的要求，具体内容应包括但不少于本招标文件《投标文件格式》的所有内容。</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6.2投标文件必须按照招标文件要求签署、盖章（不接受电子公章、电子签名或者电子签章)。</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7" w:name="_Toc435345609"/>
      <w:bookmarkStart w:id="78" w:name="_Toc453844584"/>
      <w:bookmarkStart w:id="79" w:name="_Toc259090945"/>
      <w:r>
        <w:rPr>
          <w:rFonts w:hint="eastAsia" w:ascii="宋体" w:hAnsi="宋体" w:eastAsia="宋体" w:cs="宋体"/>
          <w:b/>
          <w:bCs/>
          <w:color w:val="auto"/>
          <w:kern w:val="2"/>
          <w:sz w:val="21"/>
          <w:szCs w:val="21"/>
          <w:highlight w:val="none"/>
          <w:lang w:val="en-US" w:bidi="ar-SA"/>
        </w:rPr>
        <w:t>7．投标文件编制</w:t>
      </w:r>
      <w:bookmarkEnd w:id="77"/>
      <w:bookmarkEnd w:id="78"/>
      <w:bookmarkEnd w:id="79"/>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7.1投标人应当对投标文件进行装订，对未经装订的投标文件可能发生的文件散落或缺损，由此产生的后果由投标人承担。</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7.2投标人应完整、真实、准确的填写招标文件中规定的所有内容。</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7.3投标人必须对投标文件所提供的全部资料的真实性承担法律责任，并无条件接受招标采购单位对其中任何资料进行核实的要求。</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7.4如果因为投标人投标文件填报的内容不详，或没有提供招标文件中所要求的全部资料及数据，由此造成的后果由投标人承担。</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0" w:name="_Toc259090946"/>
      <w:bookmarkStart w:id="81" w:name="_Toc435345610"/>
      <w:bookmarkStart w:id="82" w:name="_Toc453844585"/>
      <w:r>
        <w:rPr>
          <w:rFonts w:hint="eastAsia" w:ascii="宋体" w:hAnsi="宋体" w:eastAsia="宋体" w:cs="宋体"/>
          <w:b/>
          <w:bCs/>
          <w:color w:val="auto"/>
          <w:kern w:val="2"/>
          <w:sz w:val="21"/>
          <w:szCs w:val="21"/>
          <w:highlight w:val="none"/>
          <w:lang w:val="en-US" w:bidi="ar-SA"/>
        </w:rPr>
        <w:t>8．投标报价</w:t>
      </w:r>
      <w:bookmarkEnd w:id="80"/>
      <w:bookmarkEnd w:id="81"/>
      <w:bookmarkEnd w:id="82"/>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8.1如招标文件无特殊规定，投标价格以人民币填报。</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8.2投标人应按照《投标人须知前附表》《用户需求书》规定的内容进行报价，并按《报价表》确定的格式报出价格。投标总价中不得包含招标文件要求以外的内容，否则，在评标时不予核减。投标总价中也不得缺漏招标文件所要求的内容，否则，视为该漏报或者不报部分的费用已包括在已报的分项报价中而不予支付。</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8.3《投标分项报价表》填写时应响应下列要求：</w:t>
      </w:r>
    </w:p>
    <w:p>
      <w:pPr>
        <w:widowControl w:val="0"/>
        <w:autoSpaceDE/>
        <w:autoSpaceDN/>
        <w:adjustRightInd w:val="0"/>
        <w:snapToGrid w:val="0"/>
        <w:spacing w:before="0" w:after="0" w:line="360" w:lineRule="auto"/>
        <w:ind w:left="650" w:leftChars="200" w:right="0" w:hanging="210" w:hangingChars="1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所有根据合同或者其他原因应由投标人支付的税款和其他应缴纳的费用都要包括在投标人提交的投标价格中；</w:t>
      </w:r>
    </w:p>
    <w:p>
      <w:pPr>
        <w:widowControl w:val="0"/>
        <w:autoSpaceDE/>
        <w:autoSpaceDN/>
        <w:adjustRightInd w:val="0"/>
        <w:snapToGrid w:val="0"/>
        <w:spacing w:before="0" w:after="0" w:line="360" w:lineRule="auto"/>
        <w:ind w:left="700" w:right="0" w:hanging="28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2） </w:t>
      </w:r>
      <w:r>
        <w:rPr>
          <w:rFonts w:hint="eastAsia" w:ascii="宋体" w:hAnsi="宋体" w:eastAsia="宋体" w:cs="宋体"/>
          <w:color w:val="auto"/>
          <w:sz w:val="21"/>
          <w:szCs w:val="21"/>
          <w:highlight w:val="none"/>
          <w:lang w:val="en-US" w:bidi="ar-SA"/>
        </w:rPr>
        <w:t>应包含货物运至最终目的地的运输、保险和伴随货物服务的其他所有费用。</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8.4</w:t>
      </w:r>
      <w:r>
        <w:rPr>
          <w:rFonts w:hint="eastAsia" w:ascii="宋体" w:hAnsi="宋体" w:eastAsia="宋体" w:cs="宋体"/>
          <w:color w:val="auto"/>
          <w:kern w:val="2"/>
          <w:sz w:val="21"/>
          <w:szCs w:val="21"/>
          <w:highlight w:val="none"/>
          <w:lang w:val="en-US" w:bidi="ar-SA"/>
        </w:rPr>
        <w:t>投标文件报价出现前后不一致的，按照下列规定修正：（一）投标文件中</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报价表</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同时出现两种以上不一致的，按照前款规定的顺序修正。</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3" w:name="_Toc259090947"/>
      <w:bookmarkStart w:id="84" w:name="_Toc453844586"/>
      <w:bookmarkStart w:id="85" w:name="_Toc435345611"/>
      <w:r>
        <w:rPr>
          <w:rFonts w:hint="eastAsia" w:ascii="宋体" w:hAnsi="宋体" w:eastAsia="宋体" w:cs="宋体"/>
          <w:b/>
          <w:bCs/>
          <w:color w:val="auto"/>
          <w:kern w:val="2"/>
          <w:sz w:val="21"/>
          <w:szCs w:val="21"/>
          <w:highlight w:val="none"/>
          <w:lang w:val="en-US" w:bidi="ar-SA"/>
        </w:rPr>
        <w:t>9．备选方案</w:t>
      </w:r>
      <w:bookmarkEnd w:id="83"/>
      <w:bookmarkEnd w:id="84"/>
      <w:bookmarkEnd w:id="85"/>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9.1只允许投标人有一个投标方案，否则将被视为无效投标。（招标文件允许有备选方案的除外）</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6" w:name="_Toc435345612"/>
      <w:bookmarkStart w:id="87" w:name="_Toc453844587"/>
      <w:bookmarkStart w:id="88" w:name="_Toc259090949"/>
      <w:r>
        <w:rPr>
          <w:rFonts w:hint="eastAsia" w:ascii="宋体" w:hAnsi="宋体" w:eastAsia="宋体" w:cs="宋体"/>
          <w:b/>
          <w:bCs/>
          <w:color w:val="auto"/>
          <w:kern w:val="2"/>
          <w:sz w:val="21"/>
          <w:szCs w:val="21"/>
          <w:highlight w:val="none"/>
          <w:lang w:val="en-US" w:bidi="ar-SA"/>
        </w:rPr>
        <w:t>10．投标人资格证明文件</w:t>
      </w:r>
      <w:bookmarkEnd w:id="86"/>
      <w:bookmarkEnd w:id="87"/>
      <w:bookmarkEnd w:id="88"/>
    </w:p>
    <w:p>
      <w:pPr>
        <w:widowControl w:val="0"/>
        <w:tabs>
          <w:tab w:val="left" w:pos="7740"/>
        </w:tabs>
        <w:autoSpaceDE/>
        <w:autoSpaceDN/>
        <w:adjustRightInd w:val="0"/>
        <w:snapToGrid w:val="0"/>
        <w:spacing w:before="0" w:after="0" w:line="360" w:lineRule="auto"/>
        <w:ind w:left="420" w:right="0" w:hanging="4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10.1投标人应按招标文件的要求，提交证明其有资格参加投标和中标后有履行合同能力的文件，并作为其投标文件的组成部分，内容详见招标文件《投标文件格式》中的“资格性文件”。</w:t>
      </w:r>
    </w:p>
    <w:p>
      <w:pPr>
        <w:widowControl w:val="0"/>
        <w:tabs>
          <w:tab w:val="left" w:pos="7740"/>
        </w:tabs>
        <w:autoSpaceDE/>
        <w:autoSpaceDN/>
        <w:adjustRightInd w:val="0"/>
        <w:snapToGrid w:val="0"/>
        <w:spacing w:before="0" w:after="0" w:line="360" w:lineRule="auto"/>
        <w:ind w:left="420" w:right="0" w:hanging="4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10.2资格证明文件必须真实有效，复印件必须加盖单位印章；招标文件投标人资格要求或者《投标文件格式》中的“资格性文件”要求携带原件的，投标人应该在开标现场向评标委员会提供原件核对，否则将作无效投标处理。</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9" w:name="_Toc230597966"/>
      <w:bookmarkStart w:id="90" w:name="_Toc435345614"/>
      <w:bookmarkStart w:id="91" w:name="_Toc453844589"/>
      <w:bookmarkStart w:id="92" w:name="_Toc222823292"/>
      <w:bookmarkStart w:id="93" w:name="_Toc42923352"/>
      <w:bookmarkStart w:id="94" w:name="_Toc259090951"/>
      <w:r>
        <w:rPr>
          <w:rFonts w:hint="eastAsia" w:ascii="宋体" w:hAnsi="宋体" w:eastAsia="宋体" w:cs="宋体"/>
          <w:b/>
          <w:bCs/>
          <w:color w:val="auto"/>
          <w:kern w:val="2"/>
          <w:sz w:val="21"/>
          <w:szCs w:val="21"/>
          <w:highlight w:val="none"/>
          <w:lang w:val="en-US" w:bidi="ar-SA"/>
        </w:rPr>
        <w:t>11．投标有效期</w:t>
      </w:r>
      <w:bookmarkEnd w:id="89"/>
      <w:bookmarkEnd w:id="90"/>
      <w:bookmarkEnd w:id="91"/>
      <w:bookmarkEnd w:id="92"/>
      <w:bookmarkEnd w:id="93"/>
      <w:bookmarkEnd w:id="94"/>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11</w:t>
      </w:r>
      <w:r>
        <w:rPr>
          <w:rFonts w:hint="eastAsia" w:ascii="宋体" w:hAnsi="宋体" w:eastAsia="宋体" w:cs="宋体"/>
          <w:color w:val="auto"/>
          <w:sz w:val="21"/>
          <w:szCs w:val="21"/>
          <w:highlight w:val="none"/>
          <w:lang w:val="en-US" w:bidi="ar-SA"/>
        </w:rPr>
        <w:t>.1 投标文件应在《投标人须知前附表》规定的时间内保持有效。投标有效期比规定时间短的将作无效投标处理。</w:t>
      </w:r>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11</w:t>
      </w:r>
      <w:r>
        <w:rPr>
          <w:rFonts w:hint="eastAsia" w:ascii="宋体" w:hAnsi="宋体" w:eastAsia="宋体" w:cs="宋体"/>
          <w:color w:val="auto"/>
          <w:sz w:val="21"/>
          <w:szCs w:val="21"/>
          <w:highlight w:val="none"/>
          <w:lang w:val="en-US" w:bidi="ar-SA"/>
        </w:rPr>
        <w:t>.2 特殊情况下，采购人可于投标有效期期满之前，要求投标人同意延长投标有效期，要求与答复均应为书面形式。投标人可以拒绝上述要求。对于同意该要求的投标人，既不要求也不允许其修改投标文件。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95" w:name="_Toc453844590"/>
      <w:bookmarkStart w:id="96" w:name="_Toc259090952"/>
      <w:bookmarkStart w:id="97" w:name="_Toc435345615"/>
      <w:r>
        <w:rPr>
          <w:rFonts w:hint="eastAsia" w:ascii="宋体" w:hAnsi="宋体" w:eastAsia="宋体" w:cs="宋体"/>
          <w:b/>
          <w:bCs/>
          <w:color w:val="auto"/>
          <w:kern w:val="2"/>
          <w:sz w:val="21"/>
          <w:szCs w:val="21"/>
          <w:highlight w:val="none"/>
          <w:lang w:val="en-US" w:bidi="ar-SA"/>
        </w:rPr>
        <w:t>12．投标文件的数量和签署</w:t>
      </w:r>
      <w:bookmarkEnd w:id="95"/>
      <w:bookmarkEnd w:id="96"/>
      <w:bookmarkEnd w:id="97"/>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12.1 投标人应按《投标人须知前附表》规定的数量提交投标文件，投标文件的副本可采用正本的复印件。每套投标文件须清楚地标明“正本”“副本”。若副本与正本不符，以正本为准。</w:t>
      </w:r>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12.2 投标文件的正本需打印或者用不褪色墨水书写，并由法定代表人或者经其正式授权的代表签字，被授权代表签字的应在投标文件中附《法定代表人授权书》。</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12.3 投标文件中的任何重要的插字、涂改和增删，必须由法定代表人或者经其正式授权的代表在旁边签章或者签字才有效。（暗标除外）</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12.4招标文件中已明示需盖章签名处，均须加盖投标人公章，并经投标人法定代表人或者其授权委托人签名或者盖章。（暗标除外）</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12.5电报、电话、传真形式的投标文件概不接受。</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98" w:name="_Toc24707"/>
      <w:bookmarkStart w:id="99" w:name="_Toc453844591"/>
      <w:bookmarkStart w:id="100" w:name="_Toc435345616"/>
      <w:bookmarkStart w:id="101" w:name="_Toc259090953"/>
      <w:r>
        <w:rPr>
          <w:rFonts w:hint="eastAsia" w:ascii="宋体" w:hAnsi="宋体" w:eastAsia="宋体" w:cs="宋体"/>
          <w:b/>
          <w:bCs/>
          <w:color w:val="auto"/>
          <w:kern w:val="2"/>
          <w:sz w:val="21"/>
          <w:szCs w:val="21"/>
          <w:highlight w:val="none"/>
          <w:lang w:val="en-US" w:bidi="ar-SA"/>
        </w:rPr>
        <w:t>四、投标文件的递交</w:t>
      </w:r>
      <w:bookmarkEnd w:id="98"/>
      <w:bookmarkEnd w:id="99"/>
      <w:bookmarkEnd w:id="100"/>
      <w:bookmarkEnd w:id="101"/>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2" w:name="_Toc259090954"/>
      <w:bookmarkStart w:id="103" w:name="_Toc453844592"/>
      <w:bookmarkStart w:id="104" w:name="_Toc435345617"/>
      <w:r>
        <w:rPr>
          <w:rFonts w:hint="eastAsia" w:ascii="宋体" w:hAnsi="宋体" w:eastAsia="宋体" w:cs="宋体"/>
          <w:b/>
          <w:bCs/>
          <w:color w:val="auto"/>
          <w:kern w:val="2"/>
          <w:sz w:val="21"/>
          <w:szCs w:val="21"/>
          <w:highlight w:val="none"/>
          <w:lang w:val="en-US" w:bidi="ar-SA"/>
        </w:rPr>
        <w:t>13．投标文件的密封和标记</w:t>
      </w:r>
      <w:bookmarkEnd w:id="102"/>
      <w:bookmarkEnd w:id="103"/>
      <w:bookmarkEnd w:id="104"/>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13.1投标人应将投标文件正本和副本进行密封。</w:t>
      </w:r>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13.2每一密封信封均应：</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（1）标明项目编号、项目名称，并注明“正本”或者“副本”字样；</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（2）注明“于（投标截止时间）之前不准启封”的字样。</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（3）</w:t>
      </w:r>
      <w:r>
        <w:rPr>
          <w:rFonts w:hint="eastAsia" w:ascii="宋体" w:hAnsi="宋体" w:eastAsia="宋体" w:cs="宋体"/>
          <w:color w:val="auto"/>
          <w:kern w:val="2"/>
          <w:sz w:val="21"/>
          <w:szCs w:val="21"/>
          <w:highlight w:val="none"/>
          <w:lang w:val="en-US" w:bidi="ar-SA"/>
        </w:rPr>
        <w:t>封口处应加盖投标人印章</w:t>
      </w:r>
      <w:r>
        <w:rPr>
          <w:rFonts w:hint="eastAsia" w:ascii="宋体" w:hAnsi="宋体" w:eastAsia="宋体" w:cs="宋体"/>
          <w:color w:val="auto"/>
          <w:sz w:val="21"/>
          <w:szCs w:val="21"/>
          <w:highlight w:val="none"/>
          <w:lang w:val="en-US" w:bidi="ar-SA"/>
        </w:rPr>
        <w:t>。</w:t>
      </w:r>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13.3如果信封未按本须知第14.1条和第14.2条要求进行密封和标记的，采购人不会拒绝接收其投标文件，但采购人对误投或者过早启封以及由此造成的风险和损失概不负责。</w:t>
      </w:r>
    </w:p>
    <w:p>
      <w:pPr>
        <w:widowControl w:val="0"/>
        <w:autoSpaceDE/>
        <w:autoSpaceDN/>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13.4投标文件未密封的或者在递交截止时间后递交的，采购人将拒绝接收。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5" w:name="_Toc453844593"/>
      <w:bookmarkStart w:id="106" w:name="_Toc259090955"/>
      <w:bookmarkStart w:id="107" w:name="_Toc435345618"/>
      <w:r>
        <w:rPr>
          <w:rFonts w:hint="eastAsia" w:ascii="宋体" w:hAnsi="宋体" w:eastAsia="宋体" w:cs="宋体"/>
          <w:b/>
          <w:bCs/>
          <w:color w:val="auto"/>
          <w:kern w:val="2"/>
          <w:sz w:val="21"/>
          <w:szCs w:val="21"/>
          <w:highlight w:val="none"/>
          <w:lang w:val="en-US" w:bidi="ar-SA"/>
        </w:rPr>
        <w:t>14．投标截止期</w:t>
      </w:r>
      <w:bookmarkEnd w:id="105"/>
      <w:bookmarkEnd w:id="106"/>
      <w:bookmarkEnd w:id="107"/>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14.1招标采购单位在《投标人须知前附表》中规定的地点和投标截止时间之前接收投标文件，超过截止时点后的投标为无效投标。“提交投标文件截止时间”和“开标时间”不包含最后一分钟。例如，提交投标文件截止时间为9:30表示截止时间为9点30分00秒。</w:t>
      </w:r>
    </w:p>
    <w:p>
      <w:pPr>
        <w:widowControl w:val="0"/>
        <w:autoSpaceDE/>
        <w:autoSpaceDN/>
        <w:adjustRightInd w:val="0"/>
        <w:snapToGrid w:val="0"/>
        <w:spacing w:before="0" w:after="0" w:line="360" w:lineRule="auto"/>
        <w:ind w:left="473" w:right="32" w:hanging="472" w:hangingChars="225"/>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14.2招标采购单位可以按本须知5.规定，通过修改招标文件自行决定酌情延长投标截止期。在此情况下，招标采购单位和投标人受投标截止期制约的所有权利和义务均应延长至新的截止期。</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8" w:name="_Toc453844594"/>
      <w:bookmarkStart w:id="109" w:name="_Toc259090956"/>
      <w:bookmarkStart w:id="110" w:name="_Toc435345619"/>
      <w:r>
        <w:rPr>
          <w:rFonts w:hint="eastAsia" w:ascii="宋体" w:hAnsi="宋体" w:eastAsia="宋体" w:cs="宋体"/>
          <w:b/>
          <w:bCs/>
          <w:color w:val="auto"/>
          <w:kern w:val="2"/>
          <w:sz w:val="21"/>
          <w:szCs w:val="21"/>
          <w:highlight w:val="none"/>
          <w:lang w:val="en-US" w:bidi="ar-SA"/>
        </w:rPr>
        <w:t>15．投标文件的修改和撤回</w:t>
      </w:r>
      <w:bookmarkEnd w:id="108"/>
      <w:bookmarkEnd w:id="109"/>
      <w:bookmarkEnd w:id="110"/>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15.1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pPr>
        <w:widowControl w:val="0"/>
        <w:tabs>
          <w:tab w:val="left" w:pos="7740"/>
        </w:tabs>
        <w:autoSpaceDE w:val="0"/>
        <w:autoSpaceDN w:val="0"/>
        <w:adjustRightInd w:val="0"/>
        <w:snapToGrid w:val="0"/>
        <w:spacing w:before="3"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15.2投标人在递交投标文件后，可以撤回其投标，但投标人必须在规定的投标截止时点前以书面形式告知招标采购单位。从投标截止期至投标人承诺的投标有效期内，投标人不得撤回其投标。</w:t>
      </w:r>
    </w:p>
    <w:p>
      <w:pPr>
        <w:widowControl w:val="0"/>
        <w:autoSpaceDE/>
        <w:autoSpaceDN/>
        <w:adjustRightInd w:val="0"/>
        <w:snapToGrid w:val="0"/>
        <w:spacing w:before="0" w:after="0" w:line="360" w:lineRule="auto"/>
        <w:ind w:left="720" w:right="32" w:hanging="7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15</w:t>
      </w:r>
      <w:r>
        <w:rPr>
          <w:rFonts w:hint="eastAsia" w:ascii="宋体" w:hAnsi="宋体" w:eastAsia="宋体" w:cs="宋体"/>
          <w:color w:val="auto"/>
          <w:kern w:val="2"/>
          <w:sz w:val="21"/>
          <w:szCs w:val="21"/>
          <w:highlight w:val="none"/>
          <w:lang w:val="en-US" w:bidi="ar-SA"/>
        </w:rPr>
        <w:t>.3投标人所提交的投标文件在评标结束后，无论中标与否都不退还。</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11" w:name="_Toc435345620"/>
      <w:bookmarkStart w:id="112" w:name="_Toc11608"/>
      <w:bookmarkStart w:id="113" w:name="_Toc259090957"/>
      <w:bookmarkStart w:id="114" w:name="_Toc453844595"/>
      <w:r>
        <w:rPr>
          <w:rFonts w:hint="eastAsia" w:ascii="宋体" w:hAnsi="宋体" w:eastAsia="宋体" w:cs="宋体"/>
          <w:b/>
          <w:bCs/>
          <w:color w:val="auto"/>
          <w:kern w:val="2"/>
          <w:sz w:val="21"/>
          <w:szCs w:val="21"/>
          <w:highlight w:val="none"/>
          <w:lang w:val="en-US" w:bidi="ar-SA"/>
        </w:rPr>
        <w:t>五、开标、评标、定标</w:t>
      </w:r>
      <w:bookmarkEnd w:id="111"/>
      <w:bookmarkEnd w:id="112"/>
      <w:bookmarkEnd w:id="113"/>
      <w:bookmarkEnd w:id="114"/>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5" w:name="_Toc259090958"/>
      <w:bookmarkStart w:id="116" w:name="_Toc453844596"/>
      <w:bookmarkStart w:id="117" w:name="_Toc435345621"/>
      <w:r>
        <w:rPr>
          <w:rFonts w:hint="eastAsia" w:ascii="宋体" w:hAnsi="宋体" w:eastAsia="宋体" w:cs="宋体"/>
          <w:b/>
          <w:bCs/>
          <w:color w:val="auto"/>
          <w:kern w:val="2"/>
          <w:sz w:val="21"/>
          <w:szCs w:val="21"/>
          <w:highlight w:val="none"/>
          <w:lang w:val="en-US" w:bidi="ar-SA"/>
        </w:rPr>
        <w:t>17．开标</w:t>
      </w:r>
      <w:bookmarkEnd w:id="115"/>
      <w:bookmarkEnd w:id="116"/>
      <w:bookmarkEnd w:id="117"/>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16.1招标采购单位在《投标人须知前附表》中规定的日期、时间和地点组织公开开标。开标时原则上应当有采购人代表和投标人代表参加，投标人代表因自身原因未参加开标会议的，视同认可开标结果。参加开标的代表应签到以证明其出席。</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16.2开标时，采购人邀请投标人对自己提交的投标文件的密封情况进行检查，当参加投标的投标人较多时，也可以由前三名递交投标文件的投标人被授权代表作为全体投标人推选的代表就全部投标文件的密封情况进行检查，经确认无误后由招标工作人员当众拆封。招标工作人员宣读投标人名称、投标价格、价格折扣、投标文件的其他主要内容和招标文件允许提供的备选投标方案。</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16.3招标采购单位做好开标记录，开标记录由各投标人代表签字确认；如开标记录表内容与投标文件不一致，或者投标人对开标有异议的，投标人代表须当场提出。</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8" w:name="_Toc259090959"/>
      <w:bookmarkStart w:id="119" w:name="_Toc453844597"/>
      <w:bookmarkStart w:id="120" w:name="_Toc435345622"/>
      <w:r>
        <w:rPr>
          <w:rFonts w:hint="eastAsia" w:ascii="宋体" w:hAnsi="宋体" w:eastAsia="宋体" w:cs="宋体"/>
          <w:b/>
          <w:bCs/>
          <w:color w:val="auto"/>
          <w:kern w:val="2"/>
          <w:sz w:val="21"/>
          <w:szCs w:val="21"/>
          <w:highlight w:val="none"/>
          <w:lang w:val="en-US" w:bidi="ar-SA"/>
        </w:rPr>
        <w:t>17．评标委员会</w:t>
      </w:r>
      <w:bookmarkEnd w:id="118"/>
      <w:bookmarkEnd w:id="119"/>
      <w:bookmarkEnd w:id="120"/>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17.1 评标由招标采购单位依照招标文件的规定，组建的评标委员会负责。评标委员会成员由采购人代表和技术、经济等方面的评审专家组成，采购人代表人数、专家人数及专业构成按招标文件规定确定。评标委员会成员依法从采购人的专家库中随机抽取。</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1" w:name="_Toc453844598"/>
      <w:bookmarkStart w:id="122" w:name="_Toc435345623"/>
      <w:bookmarkStart w:id="123" w:name="_Toc259090960"/>
      <w:r>
        <w:rPr>
          <w:rFonts w:hint="eastAsia" w:ascii="宋体" w:hAnsi="宋体" w:eastAsia="宋体" w:cs="宋体"/>
          <w:b/>
          <w:bCs/>
          <w:color w:val="auto"/>
          <w:kern w:val="2"/>
          <w:sz w:val="21"/>
          <w:szCs w:val="21"/>
          <w:highlight w:val="none"/>
          <w:lang w:val="en-US" w:bidi="ar-SA"/>
        </w:rPr>
        <w:t>18．评标程序</w:t>
      </w:r>
      <w:bookmarkEnd w:id="121"/>
      <w:bookmarkEnd w:id="122"/>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18.1投标文件初步审查（初审）。初步审查分为资格审查和符合性审查。</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18.1.1资格审查。依据法律法规和招标文件的规定，采购人或采购代理机构对投标文件中的资格证明等进行审查，以确定投标人是否具备投标资格。</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18.1.2符合性审查。依据招标文件的规定，从投标文件的有效性、完整性和对招标文件的响应程度进行审查，以确定是否对招标文件的实质性要求作出响应。</w:t>
      </w:r>
    </w:p>
    <w:p>
      <w:pPr>
        <w:widowControl w:val="0"/>
        <w:tabs>
          <w:tab w:val="left" w:pos="8280"/>
        </w:tabs>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18.1.3在投标文件初审过程中，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内容，而不依据或者寻求任何外部的证据。</w:t>
      </w:r>
    </w:p>
    <w:p>
      <w:pPr>
        <w:widowControl w:val="0"/>
        <w:tabs>
          <w:tab w:val="left" w:pos="8280"/>
        </w:tabs>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18.1.4 实质上没有响应招标文件要求的投标将被视为无效投标。投标人不得通过修正或者撤销不合要求的偏离从而使其投标文件成为实质上响应的投标。</w:t>
      </w:r>
    </w:p>
    <w:p>
      <w:pPr>
        <w:widowControl w:val="0"/>
        <w:autoSpaceDE w:val="0"/>
        <w:autoSpaceDN w:val="0"/>
        <w:adjustRightInd w:val="0"/>
        <w:snapToGrid w:val="0"/>
        <w:spacing w:before="0" w:after="0" w:line="360" w:lineRule="auto"/>
        <w:ind w:left="540" w:right="32"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18.1.5 在投标文件初审过程中，如发现《投标人须知前附表》所列情形之一的，投标文件将确定为无效投标。</w:t>
      </w:r>
    </w:p>
    <w:p>
      <w:pPr>
        <w:widowControl w:val="0"/>
        <w:autoSpaceDE w:val="0"/>
        <w:autoSpaceDN w:val="0"/>
        <w:adjustRightInd w:val="0"/>
        <w:snapToGrid w:val="0"/>
        <w:spacing w:before="0" w:after="0" w:line="360" w:lineRule="auto"/>
        <w:ind w:left="540" w:right="32"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18.1.6对各投标人进行资格性和符合性审查过程中，对初步被认定为初审不合格或者无效投标者应实行及时告知投标当事人，以让其核证、澄清事实。</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18.2澄清有关问题。</w:t>
      </w:r>
    </w:p>
    <w:p>
      <w:pPr>
        <w:widowControl w:val="0"/>
        <w:autoSpaceDE/>
        <w:autoSpaceDN/>
        <w:spacing w:before="0" w:after="0" w:line="360" w:lineRule="auto"/>
        <w:ind w:left="600" w:right="0" w:hanging="60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18.2.1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被授权代表签字，但不得超出投标文件的范围或者改变投标文件的实质性内容。</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w:t>
      </w:r>
      <w:r>
        <w:rPr>
          <w:rFonts w:hint="eastAsia" w:ascii="宋体" w:hAnsi="宋体" w:eastAsia="宋体" w:cs="宋体"/>
          <w:color w:val="auto"/>
          <w:kern w:val="2"/>
          <w:sz w:val="21"/>
          <w:szCs w:val="21"/>
          <w:highlight w:val="none"/>
          <w:lang w:val="en-US" w:bidi="ar-SA"/>
        </w:rPr>
        <w:t>.2.2 投标人的澄清文件是其投标文件的组成部分。</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18.3比较与评价。按招标文件《投标人须知前附表》规定的评标方法和标准，对资格审查和符合性审查合格的投标文件进行商务和技术评估，综合比较与评价。</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18.4按照《投标人须知前附表》所列数量推荐中标候选人名单。</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18.5评标委员会认为（招标文件中存在含义不明确或者表述不一致的内容）需要采购人对招标文件条款进行澄清的，可以要求招标采购单位进行澄清，澄清不得背离招标文件的实质内容（不得超出招标文件的范围或者改变招标文件的真实意思表示）。</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18.6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bookmarkEnd w:id="123"/>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4" w:name="_Toc259090963"/>
      <w:bookmarkStart w:id="125" w:name="_Toc435345624"/>
      <w:bookmarkStart w:id="126" w:name="_Toc453844599"/>
      <w:r>
        <w:rPr>
          <w:rFonts w:hint="eastAsia" w:ascii="宋体" w:hAnsi="宋体" w:eastAsia="宋体" w:cs="宋体"/>
          <w:b/>
          <w:bCs/>
          <w:color w:val="auto"/>
          <w:kern w:val="2"/>
          <w:sz w:val="21"/>
          <w:szCs w:val="21"/>
          <w:highlight w:val="none"/>
          <w:lang w:val="en-US" w:bidi="ar-SA"/>
        </w:rPr>
        <w:t>19．定标</w:t>
      </w:r>
      <w:bookmarkEnd w:id="124"/>
      <w:bookmarkEnd w:id="125"/>
      <w:bookmarkEnd w:id="126"/>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19.1定标程序。采购人在收到评标报告后五个工作日内，按照评标报告中推荐的中标候选人顺序确定中标人；也可以授权评标委员会直接确定中标人。具体见《投标人须知前附表》。</w:t>
      </w:r>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19.2 中标人确定后，招标采购单位将在招标文件指定的媒体上发布中标结果公告，并向中标人发出《中标通知书》，《中标通知书》对中标人和采购人具有同等法律效力。</w:t>
      </w:r>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19.3 中标结果公告的公告期限为1个工作日，结果公告同时作为采购人通知除中标人外的其他投标人没有中标的书面形式，采购人不再以其他形式另行通知。</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7" w:name="_Toc435345625"/>
      <w:bookmarkStart w:id="128" w:name="_Toc259090964"/>
      <w:bookmarkStart w:id="129" w:name="_Toc453844600"/>
      <w:r>
        <w:rPr>
          <w:rFonts w:hint="eastAsia" w:ascii="宋体" w:hAnsi="宋体" w:eastAsia="宋体" w:cs="宋体"/>
          <w:b/>
          <w:bCs/>
          <w:color w:val="auto"/>
          <w:kern w:val="2"/>
          <w:sz w:val="21"/>
          <w:szCs w:val="21"/>
          <w:highlight w:val="none"/>
          <w:lang w:val="en-US" w:bidi="ar-SA"/>
        </w:rPr>
        <w:t>20．替补候选人的设定与使用</w:t>
      </w:r>
      <w:bookmarkEnd w:id="127"/>
      <w:bookmarkEnd w:id="128"/>
      <w:bookmarkEnd w:id="129"/>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30" w:name="_Toc42923365"/>
      <w:bookmarkStart w:id="131" w:name="_Toc222823305"/>
      <w:bookmarkStart w:id="132" w:name="_Toc230597979"/>
      <w:bookmarkStart w:id="133" w:name="_Toc453844601"/>
      <w:bookmarkStart w:id="134" w:name="_Toc435345626"/>
      <w:bookmarkStart w:id="135" w:name="_Toc259090965"/>
      <w:r>
        <w:rPr>
          <w:rFonts w:hint="eastAsia" w:ascii="宋体" w:hAnsi="宋体" w:eastAsia="宋体" w:cs="宋体"/>
          <w:color w:val="auto"/>
          <w:sz w:val="21"/>
          <w:szCs w:val="21"/>
          <w:highlight w:val="none"/>
          <w:lang w:val="en-US" w:bidi="ar-SA"/>
        </w:rPr>
        <w:t>20.1 中标人因不可抗力或者自身原因不能履行采购合同的，采购人可以与排位在中标人之后第一位的中标候选人签订采购合同（以此类推，但中标资格只顺延给中标候选人），或者重新组织招标。</w:t>
      </w:r>
      <w:r>
        <w:rPr>
          <w:rFonts w:hint="eastAsia" w:ascii="宋体" w:hAnsi="宋体" w:eastAsia="宋体" w:cs="宋体"/>
          <w:b/>
          <w:bCs/>
          <w:color w:val="auto"/>
          <w:kern w:val="2"/>
          <w:sz w:val="21"/>
          <w:szCs w:val="21"/>
          <w:highlight w:val="none"/>
          <w:lang w:val="en-US" w:bidi="ar-SA"/>
        </w:rPr>
        <w:t>21．评标注意事项</w:t>
      </w:r>
      <w:bookmarkEnd w:id="130"/>
      <w:bookmarkEnd w:id="131"/>
      <w:bookmarkEnd w:id="132"/>
      <w:bookmarkEnd w:id="133"/>
      <w:bookmarkEnd w:id="134"/>
      <w:bookmarkEnd w:id="135"/>
    </w:p>
    <w:p>
      <w:pPr>
        <w:widowControl w:val="0"/>
        <w:tabs>
          <w:tab w:val="left" w:pos="0"/>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12.1评委会除主动要求询标外，从开标后至发出《中标通知书》期间，任何投标人均不得就与其投标有关的任何问题与采购人及评标委员会联系。</w:t>
      </w:r>
    </w:p>
    <w:p>
      <w:pPr>
        <w:widowControl w:val="0"/>
        <w:tabs>
          <w:tab w:val="left" w:pos="0"/>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21.2为保证采购活动的公正性，除本须知20.2的规定外，在开标、评标过程中，评标委员会成员不得与投标人私下交换意见。在招标工作结束后，评标委员会成员和参与评标的有关工作人员不得泄漏对投标文件的评审和比较以及与评标有关的其他情况。</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36" w:name="_Toc435345628"/>
      <w:bookmarkStart w:id="137" w:name="_Toc453844603"/>
      <w:bookmarkStart w:id="138" w:name="_Toc21441"/>
      <w:bookmarkStart w:id="139" w:name="_Toc259090966"/>
      <w:r>
        <w:rPr>
          <w:rFonts w:hint="eastAsia" w:ascii="宋体" w:hAnsi="宋体" w:eastAsia="宋体" w:cs="宋体"/>
          <w:b/>
          <w:bCs/>
          <w:color w:val="auto"/>
          <w:kern w:val="2"/>
          <w:sz w:val="21"/>
          <w:szCs w:val="21"/>
          <w:highlight w:val="none"/>
          <w:lang w:val="en-US" w:bidi="ar-SA"/>
        </w:rPr>
        <w:t>六、合同的订立和履行</w:t>
      </w:r>
      <w:bookmarkEnd w:id="136"/>
      <w:bookmarkEnd w:id="137"/>
      <w:bookmarkEnd w:id="138"/>
      <w:bookmarkEnd w:id="139"/>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40" w:name="_Toc453844604"/>
      <w:bookmarkStart w:id="141" w:name="_Toc435345629"/>
      <w:bookmarkStart w:id="142" w:name="_Toc259090967"/>
      <w:r>
        <w:rPr>
          <w:rFonts w:hint="eastAsia" w:ascii="宋体" w:hAnsi="宋体" w:eastAsia="宋体" w:cs="宋体"/>
          <w:b/>
          <w:bCs/>
          <w:color w:val="auto"/>
          <w:kern w:val="2"/>
          <w:sz w:val="21"/>
          <w:szCs w:val="21"/>
          <w:highlight w:val="none"/>
          <w:lang w:val="en-US" w:bidi="ar-SA"/>
        </w:rPr>
        <w:t>22．合同的订立</w:t>
      </w:r>
      <w:bookmarkEnd w:id="140"/>
      <w:bookmarkEnd w:id="141"/>
      <w:bookmarkEnd w:id="142"/>
    </w:p>
    <w:p>
      <w:pPr>
        <w:widowControl w:val="0"/>
        <w:autoSpaceDE/>
        <w:autoSpaceDN/>
        <w:spacing w:before="0" w:after="0" w:line="360" w:lineRule="auto"/>
        <w:ind w:left="525" w:right="0" w:hanging="525" w:hangingChars="250"/>
        <w:jc w:val="both"/>
        <w:rPr>
          <w:rFonts w:hint="eastAsia" w:ascii="宋体" w:hAnsi="宋体" w:eastAsia="宋体" w:cs="宋体"/>
          <w:color w:val="auto"/>
          <w:sz w:val="21"/>
          <w:szCs w:val="21"/>
          <w:highlight w:val="none"/>
          <w:lang w:val="en-US" w:bidi="ar-SA"/>
        </w:rPr>
      </w:pPr>
      <w:bookmarkStart w:id="143" w:name="_Toc435345630"/>
      <w:bookmarkStart w:id="144" w:name="_Toc453844605"/>
      <w:bookmarkStart w:id="145" w:name="_Toc259090968"/>
      <w:r>
        <w:rPr>
          <w:rFonts w:hint="eastAsia" w:ascii="宋体" w:hAnsi="宋体" w:eastAsia="宋体" w:cs="宋体"/>
          <w:color w:val="auto"/>
          <w:sz w:val="21"/>
          <w:szCs w:val="21"/>
          <w:highlight w:val="none"/>
          <w:lang w:val="en-US" w:bidi="ar-SA"/>
        </w:rPr>
        <w:t>22.1 采购人与中标人自中标通知书发出之日起三十日内，按招标文件要求和中标人投标文件承诺签订采购合同，但不得超出招标文件和中标人投标文件的范围、也不得再行订立背离合同实质性内容的其他协议。</w:t>
      </w:r>
    </w:p>
    <w:bookmarkEnd w:id="143"/>
    <w:bookmarkEnd w:id="144"/>
    <w:bookmarkEnd w:id="145"/>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46" w:name="_Toc32378"/>
      <w:bookmarkStart w:id="147" w:name="_Toc435345631"/>
      <w:bookmarkStart w:id="148" w:name="_Toc259090969"/>
      <w:bookmarkStart w:id="149" w:name="_Toc453844606"/>
      <w:r>
        <w:rPr>
          <w:rFonts w:hint="eastAsia" w:ascii="宋体" w:hAnsi="宋体" w:eastAsia="宋体" w:cs="宋体"/>
          <w:b/>
          <w:bCs/>
          <w:color w:val="auto"/>
          <w:kern w:val="2"/>
          <w:sz w:val="21"/>
          <w:szCs w:val="21"/>
          <w:highlight w:val="none"/>
          <w:lang w:val="en-US" w:bidi="ar-SA"/>
        </w:rPr>
        <w:t>七、质疑</w:t>
      </w:r>
      <w:bookmarkEnd w:id="146"/>
      <w:bookmarkEnd w:id="147"/>
      <w:bookmarkEnd w:id="148"/>
      <w:bookmarkEnd w:id="149"/>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50" w:name="_Toc453844607"/>
      <w:bookmarkStart w:id="151" w:name="_Toc259090970"/>
      <w:bookmarkStart w:id="152" w:name="_Toc435345632"/>
      <w:r>
        <w:rPr>
          <w:rFonts w:hint="eastAsia" w:ascii="宋体" w:hAnsi="宋体" w:eastAsia="宋体" w:cs="宋体"/>
          <w:b/>
          <w:bCs/>
          <w:color w:val="auto"/>
          <w:kern w:val="2"/>
          <w:sz w:val="21"/>
          <w:szCs w:val="21"/>
          <w:highlight w:val="none"/>
          <w:lang w:val="en-US" w:bidi="ar-SA"/>
        </w:rPr>
        <w:t>23.质疑</w:t>
      </w:r>
      <w:bookmarkEnd w:id="150"/>
      <w:bookmarkEnd w:id="151"/>
      <w:bookmarkEnd w:id="152"/>
    </w:p>
    <w:p>
      <w:pPr>
        <w:widowControl w:val="0"/>
        <w:tabs>
          <w:tab w:val="left" w:pos="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23.1如投标人认为本招标文件中存在“不合理的条件对投标人实行差别待遇或者歧视待遇”，或者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或采购代理机构将不再受理此后对招标文件的任何异议。接收质疑函的方式：书面形式。</w:t>
      </w:r>
    </w:p>
    <w:p>
      <w:pPr>
        <w:widowControl w:val="0"/>
        <w:ind w:left="0" w:leftChars="0" w:firstLine="0" w:firstLineChars="0"/>
        <w:jc w:val="both"/>
        <w:rPr>
          <w:rFonts w:hint="eastAsia" w:ascii="宋体" w:hAnsi="宋体" w:eastAsia="宋体" w:cs="宋体"/>
          <w:b/>
          <w:kern w:val="28"/>
          <w:sz w:val="36"/>
          <w:szCs w:val="36"/>
          <w:lang w:val="en-US" w:eastAsia="zh-CN"/>
        </w:rPr>
      </w:pPr>
    </w:p>
    <w:sectPr>
      <w:pgSz w:w="11906" w:h="16838"/>
      <w:pgMar w:top="1434" w:right="1474" w:bottom="143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fldChar w:fldCharType="begin"/>
                          </w:r>
                          <w:r>
                            <w:rPr>
                              <w:rFonts w:hint="default" w:ascii="Times New Roman" w:hAnsi="Times New Roman" w:cs="Times New Roman" w:eastAsiaTheme="minorEastAsia"/>
                              <w:sz w:val="21"/>
                              <w:szCs w:val="21"/>
                              <w:lang w:eastAsia="zh-CN"/>
                            </w:rPr>
                            <w:instrText xml:space="preserve"> PAGE  \* MERGEFORMAT </w:instrText>
                          </w:r>
                          <w:r>
                            <w:rPr>
                              <w:rFonts w:hint="default" w:ascii="Times New Roman" w:hAnsi="Times New Roman" w:cs="Times New Roman" w:eastAsiaTheme="minorEastAsia"/>
                              <w:sz w:val="21"/>
                              <w:szCs w:val="21"/>
                              <w:lang w:eastAsia="zh-CN"/>
                            </w:rPr>
                            <w:fldChar w:fldCharType="separate"/>
                          </w:r>
                          <w:r>
                            <w:rPr>
                              <w:rFonts w:hint="default" w:ascii="Times New Roman" w:hAnsi="Times New Roman" w:cs="Times New Roman" w:eastAsiaTheme="minorEastAsia"/>
                              <w:sz w:val="21"/>
                              <w:szCs w:val="21"/>
                              <w:lang w:eastAsia="zh-CN"/>
                            </w:rPr>
                            <w:t>1</w:t>
                          </w:r>
                          <w:r>
                            <w:rPr>
                              <w:rFonts w:hint="default" w:ascii="Times New Roman" w:hAnsi="Times New Roman" w:cs="Times New Roman" w:eastAsiaTheme="minor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fldChar w:fldCharType="begin"/>
                    </w:r>
                    <w:r>
                      <w:rPr>
                        <w:rFonts w:hint="default" w:ascii="Times New Roman" w:hAnsi="Times New Roman" w:cs="Times New Roman" w:eastAsiaTheme="minorEastAsia"/>
                        <w:sz w:val="21"/>
                        <w:szCs w:val="21"/>
                        <w:lang w:eastAsia="zh-CN"/>
                      </w:rPr>
                      <w:instrText xml:space="preserve"> PAGE  \* MERGEFORMAT </w:instrText>
                    </w:r>
                    <w:r>
                      <w:rPr>
                        <w:rFonts w:hint="default" w:ascii="Times New Roman" w:hAnsi="Times New Roman" w:cs="Times New Roman" w:eastAsiaTheme="minorEastAsia"/>
                        <w:sz w:val="21"/>
                        <w:szCs w:val="21"/>
                        <w:lang w:eastAsia="zh-CN"/>
                      </w:rPr>
                      <w:fldChar w:fldCharType="separate"/>
                    </w:r>
                    <w:r>
                      <w:rPr>
                        <w:rFonts w:hint="default" w:ascii="Times New Roman" w:hAnsi="Times New Roman" w:cs="Times New Roman" w:eastAsiaTheme="minorEastAsia"/>
                        <w:sz w:val="21"/>
                        <w:szCs w:val="21"/>
                        <w:lang w:eastAsia="zh-CN"/>
                      </w:rPr>
                      <w:t>1</w:t>
                    </w:r>
                    <w:r>
                      <w:rPr>
                        <w:rFonts w:hint="default" w:ascii="Times New Roman" w:hAnsi="Times New Roman" w:cs="Times New Roman" w:eastAsiaTheme="minorEastAsia"/>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26BB1"/>
    <w:rsid w:val="00FF39E6"/>
    <w:rsid w:val="01265BCF"/>
    <w:rsid w:val="0156352C"/>
    <w:rsid w:val="028D455F"/>
    <w:rsid w:val="0300386E"/>
    <w:rsid w:val="032E6131"/>
    <w:rsid w:val="039B02EC"/>
    <w:rsid w:val="040A7A68"/>
    <w:rsid w:val="04217649"/>
    <w:rsid w:val="05560FAF"/>
    <w:rsid w:val="057B0AD9"/>
    <w:rsid w:val="05BD0878"/>
    <w:rsid w:val="05FB4912"/>
    <w:rsid w:val="062715B8"/>
    <w:rsid w:val="06792BD0"/>
    <w:rsid w:val="071302B9"/>
    <w:rsid w:val="073343FB"/>
    <w:rsid w:val="07BE1C5C"/>
    <w:rsid w:val="086C231A"/>
    <w:rsid w:val="087551A1"/>
    <w:rsid w:val="08A93177"/>
    <w:rsid w:val="08B14DEA"/>
    <w:rsid w:val="08D77C06"/>
    <w:rsid w:val="091701C6"/>
    <w:rsid w:val="0A5B080C"/>
    <w:rsid w:val="0AAD0691"/>
    <w:rsid w:val="0ADA6A52"/>
    <w:rsid w:val="0AEC62F5"/>
    <w:rsid w:val="0B0C00AC"/>
    <w:rsid w:val="0B8526F7"/>
    <w:rsid w:val="0C1C7C62"/>
    <w:rsid w:val="0C3A6FA8"/>
    <w:rsid w:val="0C616DDD"/>
    <w:rsid w:val="0CD24661"/>
    <w:rsid w:val="0D227297"/>
    <w:rsid w:val="0D3C5E6E"/>
    <w:rsid w:val="0EE973A4"/>
    <w:rsid w:val="0F4F30DB"/>
    <w:rsid w:val="114A40C9"/>
    <w:rsid w:val="1167027B"/>
    <w:rsid w:val="11B36778"/>
    <w:rsid w:val="11E4614E"/>
    <w:rsid w:val="123D4211"/>
    <w:rsid w:val="12E110C3"/>
    <w:rsid w:val="13DE4636"/>
    <w:rsid w:val="14265824"/>
    <w:rsid w:val="146E1044"/>
    <w:rsid w:val="14A90766"/>
    <w:rsid w:val="14AF1479"/>
    <w:rsid w:val="14CD2110"/>
    <w:rsid w:val="14FC3F92"/>
    <w:rsid w:val="16B40F4B"/>
    <w:rsid w:val="17976EC2"/>
    <w:rsid w:val="18976382"/>
    <w:rsid w:val="18D943D6"/>
    <w:rsid w:val="192940FA"/>
    <w:rsid w:val="19CD0264"/>
    <w:rsid w:val="1A323AC2"/>
    <w:rsid w:val="1A496A08"/>
    <w:rsid w:val="1B823990"/>
    <w:rsid w:val="1BE10EFF"/>
    <w:rsid w:val="1C0E5966"/>
    <w:rsid w:val="1C3C6574"/>
    <w:rsid w:val="1CD87093"/>
    <w:rsid w:val="1D2F56F4"/>
    <w:rsid w:val="1DB833B8"/>
    <w:rsid w:val="1DB9205A"/>
    <w:rsid w:val="1F854CE0"/>
    <w:rsid w:val="1FDB2E44"/>
    <w:rsid w:val="204042B3"/>
    <w:rsid w:val="20BC20AE"/>
    <w:rsid w:val="20F828F5"/>
    <w:rsid w:val="210C12B4"/>
    <w:rsid w:val="216F2E69"/>
    <w:rsid w:val="21862239"/>
    <w:rsid w:val="21CD003A"/>
    <w:rsid w:val="21D40277"/>
    <w:rsid w:val="21DB756C"/>
    <w:rsid w:val="226F4C2B"/>
    <w:rsid w:val="22F04025"/>
    <w:rsid w:val="23A820DF"/>
    <w:rsid w:val="25111A85"/>
    <w:rsid w:val="25954206"/>
    <w:rsid w:val="26DE1514"/>
    <w:rsid w:val="278C337C"/>
    <w:rsid w:val="27F44DCB"/>
    <w:rsid w:val="28576A0C"/>
    <w:rsid w:val="285D765F"/>
    <w:rsid w:val="288F3196"/>
    <w:rsid w:val="292C1B1A"/>
    <w:rsid w:val="29AF6870"/>
    <w:rsid w:val="2AEB6EA7"/>
    <w:rsid w:val="2B170391"/>
    <w:rsid w:val="2BE5357A"/>
    <w:rsid w:val="2D1556A6"/>
    <w:rsid w:val="2D667368"/>
    <w:rsid w:val="2D7B7D51"/>
    <w:rsid w:val="2F9B5393"/>
    <w:rsid w:val="30260541"/>
    <w:rsid w:val="307C2430"/>
    <w:rsid w:val="310351F9"/>
    <w:rsid w:val="312A78FC"/>
    <w:rsid w:val="314F7CF8"/>
    <w:rsid w:val="31A51B46"/>
    <w:rsid w:val="31F0133A"/>
    <w:rsid w:val="321C0913"/>
    <w:rsid w:val="32650A9B"/>
    <w:rsid w:val="32652B1A"/>
    <w:rsid w:val="32B463F5"/>
    <w:rsid w:val="32C12F7C"/>
    <w:rsid w:val="32CF2C13"/>
    <w:rsid w:val="33484C81"/>
    <w:rsid w:val="33DF0240"/>
    <w:rsid w:val="340C10E0"/>
    <w:rsid w:val="34670DAC"/>
    <w:rsid w:val="34937D57"/>
    <w:rsid w:val="351754F0"/>
    <w:rsid w:val="35B55AE9"/>
    <w:rsid w:val="35B70D26"/>
    <w:rsid w:val="360A255B"/>
    <w:rsid w:val="36326699"/>
    <w:rsid w:val="369532C2"/>
    <w:rsid w:val="36DF7544"/>
    <w:rsid w:val="373F0FF4"/>
    <w:rsid w:val="3764089B"/>
    <w:rsid w:val="3845069F"/>
    <w:rsid w:val="38E85CE9"/>
    <w:rsid w:val="39DD3AE3"/>
    <w:rsid w:val="3A987A15"/>
    <w:rsid w:val="3B040FCD"/>
    <w:rsid w:val="3B5E20BE"/>
    <w:rsid w:val="3B8904B6"/>
    <w:rsid w:val="3B9371DB"/>
    <w:rsid w:val="3BF40D85"/>
    <w:rsid w:val="3CAA4150"/>
    <w:rsid w:val="3CBC0FEC"/>
    <w:rsid w:val="3CE34237"/>
    <w:rsid w:val="3D182434"/>
    <w:rsid w:val="3DBC20A7"/>
    <w:rsid w:val="3DEC5575"/>
    <w:rsid w:val="3E0131B1"/>
    <w:rsid w:val="3E0C3561"/>
    <w:rsid w:val="3E661D71"/>
    <w:rsid w:val="3F084100"/>
    <w:rsid w:val="3F922539"/>
    <w:rsid w:val="3F9E20A8"/>
    <w:rsid w:val="40956AB9"/>
    <w:rsid w:val="41675D12"/>
    <w:rsid w:val="41B42F58"/>
    <w:rsid w:val="41B94E3B"/>
    <w:rsid w:val="41DA0ED2"/>
    <w:rsid w:val="42286406"/>
    <w:rsid w:val="428B3466"/>
    <w:rsid w:val="434F6EC8"/>
    <w:rsid w:val="44696EEF"/>
    <w:rsid w:val="450138B2"/>
    <w:rsid w:val="45173B67"/>
    <w:rsid w:val="45AE4A52"/>
    <w:rsid w:val="45D1463A"/>
    <w:rsid w:val="46E0403D"/>
    <w:rsid w:val="47D02F65"/>
    <w:rsid w:val="4814451A"/>
    <w:rsid w:val="48C93AF9"/>
    <w:rsid w:val="496A1450"/>
    <w:rsid w:val="4B607FF3"/>
    <w:rsid w:val="4BB63C87"/>
    <w:rsid w:val="4BCA4964"/>
    <w:rsid w:val="4BFF76BB"/>
    <w:rsid w:val="4C075B69"/>
    <w:rsid w:val="4CA81067"/>
    <w:rsid w:val="4DE21B39"/>
    <w:rsid w:val="4DEA1F52"/>
    <w:rsid w:val="4F071F43"/>
    <w:rsid w:val="5012598F"/>
    <w:rsid w:val="50906E6A"/>
    <w:rsid w:val="50926F7D"/>
    <w:rsid w:val="518F40CB"/>
    <w:rsid w:val="51A21D1E"/>
    <w:rsid w:val="5309094E"/>
    <w:rsid w:val="530C3017"/>
    <w:rsid w:val="537B5AC6"/>
    <w:rsid w:val="53E0425F"/>
    <w:rsid w:val="541512FB"/>
    <w:rsid w:val="542B1791"/>
    <w:rsid w:val="543712F0"/>
    <w:rsid w:val="543F0EC5"/>
    <w:rsid w:val="546F08DE"/>
    <w:rsid w:val="55485D1E"/>
    <w:rsid w:val="55580F1B"/>
    <w:rsid w:val="567A5037"/>
    <w:rsid w:val="56B206BA"/>
    <w:rsid w:val="574B60D8"/>
    <w:rsid w:val="575E2A44"/>
    <w:rsid w:val="57766190"/>
    <w:rsid w:val="57D87FF6"/>
    <w:rsid w:val="57DD7189"/>
    <w:rsid w:val="59BD1F9D"/>
    <w:rsid w:val="5AE210D7"/>
    <w:rsid w:val="5B296730"/>
    <w:rsid w:val="5B555E90"/>
    <w:rsid w:val="5B9401F0"/>
    <w:rsid w:val="5B9B7F7D"/>
    <w:rsid w:val="5BF75F2D"/>
    <w:rsid w:val="5C3528CD"/>
    <w:rsid w:val="5C4371FC"/>
    <w:rsid w:val="5C5E1356"/>
    <w:rsid w:val="5D377FF4"/>
    <w:rsid w:val="5E952569"/>
    <w:rsid w:val="5F2D4937"/>
    <w:rsid w:val="5F592EFB"/>
    <w:rsid w:val="5FE35913"/>
    <w:rsid w:val="603B2FD2"/>
    <w:rsid w:val="607A0324"/>
    <w:rsid w:val="60D72903"/>
    <w:rsid w:val="60D73A71"/>
    <w:rsid w:val="61F966C4"/>
    <w:rsid w:val="62063864"/>
    <w:rsid w:val="62F463BE"/>
    <w:rsid w:val="63301F64"/>
    <w:rsid w:val="63BC7023"/>
    <w:rsid w:val="64124786"/>
    <w:rsid w:val="645E1BBE"/>
    <w:rsid w:val="64F54F35"/>
    <w:rsid w:val="650B6066"/>
    <w:rsid w:val="658867FD"/>
    <w:rsid w:val="65AC15B0"/>
    <w:rsid w:val="66106ACE"/>
    <w:rsid w:val="67524CBB"/>
    <w:rsid w:val="68760770"/>
    <w:rsid w:val="68B10990"/>
    <w:rsid w:val="68FE2657"/>
    <w:rsid w:val="69426A88"/>
    <w:rsid w:val="698702E5"/>
    <w:rsid w:val="69982A9A"/>
    <w:rsid w:val="69B65D0A"/>
    <w:rsid w:val="6A150F4B"/>
    <w:rsid w:val="6A1C24C9"/>
    <w:rsid w:val="6B6A729D"/>
    <w:rsid w:val="6C7B3ACA"/>
    <w:rsid w:val="6CAE2D39"/>
    <w:rsid w:val="6CC3028B"/>
    <w:rsid w:val="6CF250F8"/>
    <w:rsid w:val="6D000BE0"/>
    <w:rsid w:val="6D195F0B"/>
    <w:rsid w:val="6E3E0797"/>
    <w:rsid w:val="6EAF2073"/>
    <w:rsid w:val="6EDD4BBC"/>
    <w:rsid w:val="6EE44E74"/>
    <w:rsid w:val="6F6036CC"/>
    <w:rsid w:val="6FD521F2"/>
    <w:rsid w:val="6FE62449"/>
    <w:rsid w:val="6FF23135"/>
    <w:rsid w:val="70543139"/>
    <w:rsid w:val="70861B6E"/>
    <w:rsid w:val="70B433E5"/>
    <w:rsid w:val="70C04EEF"/>
    <w:rsid w:val="712B03AE"/>
    <w:rsid w:val="719A31FD"/>
    <w:rsid w:val="71BA6D5E"/>
    <w:rsid w:val="72A92833"/>
    <w:rsid w:val="72FE3D78"/>
    <w:rsid w:val="747F0F51"/>
    <w:rsid w:val="74C50472"/>
    <w:rsid w:val="754362CD"/>
    <w:rsid w:val="75C90C25"/>
    <w:rsid w:val="75EF16C8"/>
    <w:rsid w:val="75FE240E"/>
    <w:rsid w:val="768517FF"/>
    <w:rsid w:val="779D251F"/>
    <w:rsid w:val="77AB7580"/>
    <w:rsid w:val="77E12415"/>
    <w:rsid w:val="78494DB6"/>
    <w:rsid w:val="78670284"/>
    <w:rsid w:val="78952C3D"/>
    <w:rsid w:val="78B543BC"/>
    <w:rsid w:val="78C45047"/>
    <w:rsid w:val="78F50BE0"/>
    <w:rsid w:val="797B736B"/>
    <w:rsid w:val="7A771B11"/>
    <w:rsid w:val="7A7A6229"/>
    <w:rsid w:val="7A8E0F2C"/>
    <w:rsid w:val="7AEB78DF"/>
    <w:rsid w:val="7B485841"/>
    <w:rsid w:val="7B7621EA"/>
    <w:rsid w:val="7B92770E"/>
    <w:rsid w:val="7C084C8A"/>
    <w:rsid w:val="7C23393A"/>
    <w:rsid w:val="7D5437E5"/>
    <w:rsid w:val="7E922303"/>
    <w:rsid w:val="7F233DE2"/>
    <w:rsid w:val="7F7516CF"/>
    <w:rsid w:val="7FA0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0"/>
    </w:rPr>
  </w:style>
  <w:style w:type="paragraph" w:styleId="3">
    <w:name w:val="Plain Text"/>
    <w:basedOn w:val="1"/>
    <w:next w:val="1"/>
    <w:qFormat/>
    <w:uiPriority w:val="0"/>
    <w:rPr>
      <w:rFonts w:ascii="宋体" w:hAnsi="Courier New" w:cs="Courier New"/>
      <w:szCs w:val="21"/>
    </w:rPr>
  </w:style>
  <w:style w:type="paragraph" w:styleId="6">
    <w:name w:val="index 8"/>
    <w:basedOn w:val="1"/>
    <w:next w:val="1"/>
    <w:qFormat/>
    <w:uiPriority w:val="0"/>
    <w:pPr>
      <w:ind w:left="1400" w:leftChars="1400"/>
    </w:pPr>
  </w:style>
  <w:style w:type="paragraph" w:styleId="7">
    <w:name w:val="Normal Indent"/>
    <w:basedOn w:val="1"/>
    <w:next w:val="6"/>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widowControl w:val="0"/>
      <w:spacing w:after="120" w:line="360" w:lineRule="auto"/>
      <w:jc w:val="both"/>
    </w:pPr>
    <w:rPr>
      <w:sz w:val="16"/>
      <w:szCs w:val="16"/>
    </w:rPr>
  </w:style>
  <w:style w:type="paragraph" w:styleId="10">
    <w:name w:val="Body Text Indent 2"/>
    <w:basedOn w:val="1"/>
    <w:qFormat/>
    <w:uiPriority w:val="0"/>
    <w:pPr>
      <w:spacing w:line="480" w:lineRule="exact"/>
      <w:ind w:left="810" w:firstLine="675"/>
    </w:pPr>
    <w:rPr>
      <w:rFonts w:eastAsia="仿宋_GB2312"/>
      <w:sz w:val="3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next w:val="1"/>
    <w:qFormat/>
    <w:uiPriority w:val="0"/>
    <w:pPr>
      <w:tabs>
        <w:tab w:val="left" w:pos="3420"/>
      </w:tabs>
      <w:spacing w:line="480" w:lineRule="exact"/>
      <w:jc w:val="center"/>
    </w:pPr>
    <w:rPr>
      <w:rFonts w:ascii="宋体" w:hAnsi="Times New Roman" w:eastAsia="宋体" w:cs="Times New Roman"/>
      <w:b/>
      <w:bCs/>
      <w:sz w:val="24"/>
      <w:szCs w:val="24"/>
      <w:lang w:val="en-US" w:eastAsia="zh-CN" w:bidi="ar-SA"/>
    </w:rPr>
  </w:style>
  <w:style w:type="paragraph" w:styleId="14">
    <w:name w:val="Body Text Indent 3"/>
    <w:basedOn w:val="1"/>
    <w:qFormat/>
    <w:uiPriority w:val="0"/>
    <w:pPr>
      <w:widowControl w:val="0"/>
      <w:autoSpaceDE w:val="0"/>
      <w:autoSpaceDN w:val="0"/>
      <w:spacing w:before="0" w:after="120" w:line="240" w:lineRule="auto"/>
      <w:ind w:left="420" w:leftChars="200" w:right="0"/>
      <w:jc w:val="left"/>
    </w:pPr>
    <w:rPr>
      <w:rFonts w:ascii="宋体" w:hAnsi="宋体" w:eastAsia="宋体" w:cs="宋体"/>
      <w:sz w:val="16"/>
      <w:szCs w:val="16"/>
      <w:lang w:val="zh-CN" w:eastAsia="zh-CN" w:bidi="zh-CN"/>
    </w:rPr>
  </w:style>
  <w:style w:type="paragraph" w:styleId="1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qFormat/>
    <w:uiPriority w:val="0"/>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_Style 3"/>
    <w:next w:val="14"/>
    <w:qFormat/>
    <w:uiPriority w:val="0"/>
    <w:pPr>
      <w:widowControl w:val="0"/>
      <w:autoSpaceDE w:val="0"/>
      <w:autoSpaceDN w:val="0"/>
      <w:adjustRightInd w:val="0"/>
      <w:spacing w:before="0" w:after="0" w:line="480" w:lineRule="exact"/>
      <w:ind w:left="0" w:right="0" w:firstLine="560"/>
      <w:jc w:val="left"/>
    </w:pPr>
    <w:rPr>
      <w:rFonts w:ascii="宋体" w:hAnsi="宋体" w:eastAsia="宋体" w:cs="宋体"/>
      <w:color w:val="000000"/>
      <w:kern w:val="0"/>
      <w:sz w:val="28"/>
      <w:szCs w:val="20"/>
      <w:lang w:val="zh-CN" w:eastAsia="zh-CN" w:bidi="zh-CN"/>
    </w:rPr>
  </w:style>
  <w:style w:type="paragraph" w:customStyle="1" w:styleId="23">
    <w:name w:val="Table Paragraph"/>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customStyle="1" w:styleId="24">
    <w:name w:val="font11"/>
    <w:basedOn w:val="18"/>
    <w:qFormat/>
    <w:uiPriority w:val="0"/>
    <w:rPr>
      <w:rFonts w:hint="eastAsia" w:ascii="仿宋_GB2312" w:eastAsia="仿宋_GB2312" w:cs="仿宋_GB2312"/>
      <w:color w:val="000000"/>
      <w:sz w:val="24"/>
      <w:szCs w:val="24"/>
      <w:u w:val="none"/>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样式2"/>
    <w:basedOn w:val="1"/>
    <w:qFormat/>
    <w:uiPriority w:val="0"/>
    <w:pPr>
      <w:spacing w:line="300" w:lineRule="auto"/>
      <w:jc w:val="center"/>
      <w:outlineLvl w:val="0"/>
    </w:pPr>
    <w:rPr>
      <w:b/>
      <w:sz w:val="24"/>
      <w:szCs w:val="20"/>
    </w:rPr>
  </w:style>
  <w:style w:type="paragraph" w:styleId="27">
    <w:name w:val="List Paragraph"/>
    <w:basedOn w:val="1"/>
    <w:qFormat/>
    <w:uiPriority w:val="34"/>
    <w:pPr>
      <w:ind w:firstLine="420" w:firstLineChars="200"/>
    </w:pPr>
  </w:style>
  <w:style w:type="paragraph" w:customStyle="1" w:styleId="28">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香洲区</Company>
  <Pages>34</Pages>
  <Words>20547</Words>
  <Characters>21790</Characters>
  <Lines>1</Lines>
  <Paragraphs>1</Paragraphs>
  <TotalTime>5</TotalTime>
  <ScaleCrop>false</ScaleCrop>
  <LinksUpToDate>false</LinksUpToDate>
  <CharactersWithSpaces>22152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2024-10-09T03:37:00Z</dcterms:created>
  <dc:creator>DXL2</dc:creator>
  <cp:lastModifiedBy>NS</cp:lastModifiedBy>
  <cp:lastPrinted>2025-08-04T04:45:00Z</cp:lastPrinted>
  <dcterms:modified xsi:type="dcterms:W3CDTF">2025-09-02T10:08:07Z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FF4E568D0500460F84B5F349CB96FCB2</vt:lpwstr>
  </property>
  <property fmtid="{D5CDD505-2E9C-101B-9397-08002B2CF9AE}" pid="4" name="KSOTemplateDocerSaveRecord">
    <vt:lpwstr>eyJoZGlkIjoiYzk2NzUxMzcxNWJjNWNmMzgwMmNiYTc1M2U2YThlYjAifQ==</vt:lpwstr>
  </property>
</Properties>
</file>