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lang w:val="en-US" w:eastAsia="zh-CN"/>
        </w:rPr>
        <w:t>空调维保</w:t>
      </w:r>
      <w:r>
        <w:rPr>
          <w:rFonts w:hint="eastAsia" w:ascii="黑体" w:hAnsi="黑体" w:eastAsia="黑体" w:cs="黑体"/>
          <w:sz w:val="28"/>
          <w:szCs w:val="28"/>
          <w:lang w:eastAsia="zh-CN"/>
        </w:rPr>
        <w:t>服务</w:t>
      </w:r>
      <w:r>
        <w:rPr>
          <w:rFonts w:hint="eastAsia" w:ascii="黑体" w:hAnsi="黑体" w:eastAsia="黑体" w:cs="黑体"/>
          <w:sz w:val="28"/>
          <w:szCs w:val="28"/>
          <w:lang w:val="en-US" w:eastAsia="zh-CN"/>
        </w:rPr>
        <w:t>采购</w:t>
      </w:r>
      <w:r>
        <w:rPr>
          <w:rFonts w:hint="eastAsia" w:ascii="黑体" w:hAnsi="黑体" w:eastAsia="黑体" w:cs="黑体"/>
          <w:sz w:val="28"/>
          <w:szCs w:val="28"/>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用户</w:t>
      </w:r>
      <w:r>
        <w:rPr>
          <w:rFonts w:hint="eastAsia" w:ascii="方正小标宋简体" w:hAnsi="方正小标宋简体" w:eastAsia="方正小标宋简体" w:cs="方正小标宋简体"/>
          <w:sz w:val="44"/>
          <w:szCs w:val="44"/>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z w:val="28"/>
          <w:szCs w:val="28"/>
          <w:lang w:val="en-US" w:eastAsia="zh-CN"/>
        </w:rPr>
        <w:t>1.项目名称：</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珠海市香洲区第二人民医院空调维保服务采购项目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2.项目编号：</w:t>
      </w:r>
      <w:r>
        <w:rPr>
          <w:rFonts w:hint="eastAsia" w:ascii="宋体" w:hAnsi="宋体" w:eastAsia="宋体" w:cs="宋体"/>
          <w:b w:val="0"/>
          <w:bCs w:val="0"/>
          <w:sz w:val="28"/>
          <w:szCs w:val="28"/>
          <w:lang w:val="en-US" w:eastAsia="zh-CN"/>
        </w:rPr>
        <w:t>HQDY2025017</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b/>
          <w:bCs/>
          <w:sz w:val="28"/>
          <w:szCs w:val="28"/>
          <w:lang w:val="en-US" w:eastAsia="zh-CN"/>
        </w:rPr>
        <w:t>3.服务期限：</w:t>
      </w:r>
      <w:r>
        <w:rPr>
          <w:rFonts w:hint="eastAsia" w:ascii="宋体" w:hAnsi="宋体" w:eastAsia="宋体" w:cs="宋体"/>
          <w:b w:val="0"/>
          <w:bCs w:val="0"/>
          <w:sz w:val="28"/>
          <w:szCs w:val="28"/>
          <w:lang w:val="en-US" w:eastAsia="zh-CN"/>
        </w:rPr>
        <w:t>合同签订生效</w:t>
      </w:r>
      <w:r>
        <w:rPr>
          <w:rFonts w:hint="eastAsia" w:ascii="宋体" w:hAnsi="宋体" w:eastAsia="宋体" w:cs="宋体"/>
          <w:b w:val="0"/>
          <w:bCs w:val="0"/>
          <w:i w:val="0"/>
          <w:iCs w:val="0"/>
          <w:caps w:val="0"/>
          <w:color w:val="333333"/>
          <w:spacing w:val="0"/>
          <w:sz w:val="28"/>
          <w:szCs w:val="28"/>
          <w:shd w:val="clear" w:fill="FFFFFF"/>
        </w:rPr>
        <w:t>之</w:t>
      </w:r>
      <w:r>
        <w:rPr>
          <w:rFonts w:hint="eastAsia" w:ascii="宋体" w:hAnsi="宋体" w:eastAsia="宋体" w:cs="宋体"/>
          <w:i w:val="0"/>
          <w:iCs w:val="0"/>
          <w:caps w:val="0"/>
          <w:color w:val="333333"/>
          <w:spacing w:val="0"/>
          <w:sz w:val="28"/>
          <w:szCs w:val="28"/>
          <w:shd w:val="clear" w:fill="FFFFFF"/>
        </w:rPr>
        <w:t>日起</w:t>
      </w:r>
      <w:r>
        <w:rPr>
          <w:rFonts w:hint="eastAsia" w:ascii="宋体" w:hAnsi="宋体" w:eastAsia="宋体" w:cs="宋体"/>
          <w:i w:val="0"/>
          <w:iCs w:val="0"/>
          <w:caps w:val="0"/>
          <w:color w:val="333333"/>
          <w:spacing w:val="0"/>
          <w:sz w:val="28"/>
          <w:szCs w:val="28"/>
          <w:shd w:val="clear" w:fill="FFFFFF"/>
          <w:lang w:val="en-US" w:eastAsia="zh-CN"/>
        </w:rPr>
        <w:t>二</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w:t>
      </w:r>
    </w:p>
    <w:p>
      <w:pPr>
        <w:pStyle w:val="18"/>
        <w:spacing w:line="500" w:lineRule="exact"/>
        <w:ind w:firstLine="604"/>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333333"/>
          <w:spacing w:val="0"/>
          <w:sz w:val="28"/>
          <w:szCs w:val="28"/>
          <w:shd w:val="clear" w:fill="FFFFFF"/>
          <w:lang w:val="en-US" w:eastAsia="zh-CN"/>
        </w:rPr>
        <w:t>4.服务范围：</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珠海市香洲区第二人民医院及院办院管方式管辖南屏社区卫生服务中心（该中心下设广昌社区卫生服务站、广生社区卫生服务站、东桥社区卫生服务站）。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二、空调设备基本情况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1740"/>
        <w:gridCol w:w="1380"/>
        <w:gridCol w:w="1575"/>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17"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院区</w:t>
            </w:r>
          </w:p>
        </w:tc>
        <w:tc>
          <w:tcPr>
            <w:tcW w:w="1740"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设备类型</w:t>
            </w:r>
          </w:p>
        </w:tc>
        <w:tc>
          <w:tcPr>
            <w:tcW w:w="1380"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品牌范围</w:t>
            </w:r>
          </w:p>
        </w:tc>
        <w:tc>
          <w:tcPr>
            <w:tcW w:w="1575"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数量（台）</w:t>
            </w:r>
          </w:p>
        </w:tc>
        <w:tc>
          <w:tcPr>
            <w:tcW w:w="2149"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香洲区第二人民医院（含南屏中心）</w:t>
            </w:r>
          </w:p>
        </w:tc>
        <w:tc>
          <w:tcPr>
            <w:tcW w:w="1740"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壁挂/天花/落地空调</w:t>
            </w:r>
          </w:p>
        </w:tc>
        <w:tc>
          <w:tcPr>
            <w:tcW w:w="1380"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格力、美的</w:t>
            </w:r>
          </w:p>
        </w:tc>
        <w:tc>
          <w:tcPr>
            <w:tcW w:w="1575"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388</w:t>
            </w:r>
          </w:p>
        </w:tc>
        <w:tc>
          <w:tcPr>
            <w:tcW w:w="2149" w:type="dxa"/>
          </w:tcPr>
          <w:p>
            <w:pPr>
              <w:pStyle w:val="1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精密（1台）、</w:t>
            </w:r>
          </w:p>
          <w:p>
            <w:pPr>
              <w:pStyle w:val="1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1HP（60台）、1.5HP（198台）、2HP（75台）、3HP（39台）、5HP（15台）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广昌社区卫生服务站</w:t>
            </w:r>
          </w:p>
        </w:tc>
        <w:tc>
          <w:tcPr>
            <w:tcW w:w="1740"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壁挂/天花/落地空调</w:t>
            </w:r>
          </w:p>
        </w:tc>
        <w:tc>
          <w:tcPr>
            <w:tcW w:w="1380"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格力、美的</w:t>
            </w:r>
          </w:p>
        </w:tc>
        <w:tc>
          <w:tcPr>
            <w:tcW w:w="1575"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149" w:type="dxa"/>
          </w:tcPr>
          <w:p>
            <w:pPr>
              <w:pStyle w:val="1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1HP（2台）、1.5HP（5台）、2HP（1台）、3HP（2台）、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广生社区卫生服务站</w:t>
            </w:r>
          </w:p>
        </w:tc>
        <w:tc>
          <w:tcPr>
            <w:tcW w:w="1740"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天花</w:t>
            </w:r>
          </w:p>
        </w:tc>
        <w:tc>
          <w:tcPr>
            <w:tcW w:w="1380"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格力、美的</w:t>
            </w:r>
          </w:p>
        </w:tc>
        <w:tc>
          <w:tcPr>
            <w:tcW w:w="1575"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49" w:type="dxa"/>
          </w:tcPr>
          <w:p>
            <w:pPr>
              <w:pStyle w:val="1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5HP（4台）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东桥社区卫生服务站</w:t>
            </w:r>
          </w:p>
        </w:tc>
        <w:tc>
          <w:tcPr>
            <w:tcW w:w="1740"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天花</w:t>
            </w:r>
          </w:p>
        </w:tc>
        <w:tc>
          <w:tcPr>
            <w:tcW w:w="1380"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格力、美的</w:t>
            </w:r>
          </w:p>
        </w:tc>
        <w:tc>
          <w:tcPr>
            <w:tcW w:w="1575"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149" w:type="dxa"/>
          </w:tcPr>
          <w:p>
            <w:pPr>
              <w:pStyle w:val="1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3HP（12台）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7" w:type="dxa"/>
            <w:gridSpan w:val="3"/>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75" w:type="dxa"/>
          </w:tcPr>
          <w:p>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413</w:t>
            </w:r>
          </w:p>
        </w:tc>
        <w:tc>
          <w:tcPr>
            <w:tcW w:w="2149" w:type="dxa"/>
          </w:tcPr>
          <w:p>
            <w:pPr>
              <w:pStyle w:val="18"/>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1"/>
                <w:szCs w:val="21"/>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说明：1.空调数量为暂定数，以进场时实际核点数量为准，如单项数量变化在20%以内时（含20%），不增加服务费。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default"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2.空调开始使用时间为2003年至2025年。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三、项目需求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（一）服务要求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1.为我院及院办院管方式管辖南屏社区卫生服务中心（该中心下设广昌社区卫生服务站、广生社区卫生服务站、东桥社区卫生服务站）的所有空调（挂壁式、天花机、柜机空调系统）</w:t>
      </w:r>
      <w:r>
        <w:rPr>
          <w:rFonts w:hint="eastAsia" w:ascii="宋体" w:hAnsi="宋体" w:eastAsia="宋体" w:cs="宋体"/>
          <w:b w:val="0"/>
          <w:bCs w:val="0"/>
          <w:kern w:val="2"/>
          <w:sz w:val="28"/>
          <w:szCs w:val="28"/>
          <w:lang w:val="en-US" w:eastAsia="zh-CN" w:bidi="ar-SA"/>
        </w:rPr>
        <w:t>日常的维护、保养、检修及紧急故障处理服务</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，保证全院空调设备的正常运行</w:t>
      </w:r>
      <w:r>
        <w:rPr>
          <w:rFonts w:hint="eastAsia" w:ascii="宋体" w:hAnsi="宋体" w:eastAsia="宋体" w:cs="宋体"/>
          <w:b w:val="0"/>
          <w:bCs w:val="0"/>
          <w:color w:val="00000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outlineLvl w:val="2"/>
        <w:rPr>
          <w:rFonts w:hint="default"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default" w:ascii="宋体" w:hAnsi="宋体" w:eastAsia="宋体" w:cs="宋体"/>
          <w:color w:val="000000" w:themeColor="text1"/>
          <w:spacing w:val="0"/>
          <w:kern w:val="0"/>
          <w:sz w:val="28"/>
          <w:szCs w:val="28"/>
          <w:lang w:val="en-US" w:eastAsia="zh-CN" w:bidi="ar"/>
          <w14:textFill>
            <w14:solidFill>
              <w14:schemeClr w14:val="tx1"/>
            </w14:solidFill>
          </w14:textFill>
        </w:rPr>
        <w:t>2.</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维保方式（调研全包或半包两种方式，供应商需根据两类维保方式分别报价）：</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outlineLvl w:val="2"/>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1）采用全包的责任方式，供应商提供劳务及空调零部件，包括服务范围内的人工费、管理费用、相关工具用具及劳保用品服装的使用费用、维护期内所有正常使用过程中损坏的零部件更换费、材料费、物资费、设备折旧费、加班费、突发作业费、保险费及各项税费等一切与完成本项目相关费用及合同实施过程中应预见和不可预见费用。</w:t>
      </w:r>
    </w:p>
    <w:p>
      <w:pPr>
        <w:pStyle w:val="2"/>
        <w:keepNext w:val="0"/>
        <w:keepLines w:val="0"/>
        <w:pageBreakBefore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采用半包的责任方式，即含人工及(除压缩机除外）所有配件，例如空调补加雪种、显示板、控制板、尘网、摇控器、风轮、风扇、电容、接触器等，（单价300元以内（含300元）的配件由服务公司承担相应更换费用，单价超过300元以上的由医院归口管理部门确认后由医院承担相应更换费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（二）服务内容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1.接到科室报修通知后，当天要做出反应，及时查看故障原因及处理方法。（小故障1天内处理；需要更换配件的3天之内处理完成；其他特殊情况按科室要求配合维修。）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2.对于每季度巡查维护，供应商应制定实施计划，确保按照计划进行，并及时记录维护情况，完成后需将实施计划及维保记录提交采购人备案。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（三）服务质量要求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1.深度清洗要求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（1）每半年至少1次深度清洗，完成后需出具空调清洗记录。(包括清洗过滤器、冷凝器、蒸发器、风机、挂水盘和面板等部件)。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2.清洗过程中应使用环保清洗剂，避免对环境和人体造成危害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3.清洗完成后，应对空调系统进行全面检查，确保各部件安装正确、运行正常。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2.巡查维保要求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2.1每季度对全院空调设备的日常巡视检查工作，保证各空调设备正常运行，每季度10日前出具上个季度空调系统检修保养报告。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2.2分体、柜机空调机巡查维保要求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(1)外观检查:首先对空调机组和风管进行外观检查，查看是否有明显的损坏或变形，以及是否有异物堵塞。同时，检查排水管是否通畅，有无漏水水现象。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(2)电气部分检查:对空调的电气部分进行检查，包括电源线、插头开关等是否完好无损，无老化或破损现象。还需检查控制器、传感器、电机等是否正常工作，以及电气设备的接线是否牢固可靠，接地是否良好。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(3)制冷系统检查:检查冷凝器是否清洁，有无积尘或堵塞现象。同时，检查蒸发器是否结霜，以及是否存在漏氟现象。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(4)通风系统检查:检查通风管道是否有堵塞现象，是否需要清洗和疏通。同时，清理风口处的灰尘或异物，确保空气流通畅通。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(5)过滤网清洗:分体空调的过滤网容易积聚灰尘和细菌，清洗时可以用清水冲洗过滤网的背面，并用软毛刷轻轻刷洗。洗净后，置于阴凉处自然晾干。</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(6)运行状况检查:检查空调的运行声音是否正常，是否存在异响等异常声音。同时，观察空调吹出的风是否正常，是否存在阻塞情况。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2.3天花机空调维保巡查要求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(1)外观检查:检查空调机组和风管是否有明显的损坏或变形，是否有异物堵塞，以及排水管是否通畅，有无漏水现象。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(2)电气部分检查:对电源线、插头、开关等进行检查，确保完好无损。同时，检查控制器、传感器、电机等是否正常工作，电气设备的接线是否牢固可靠，接地是否良好。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(3)冷凝器和蒸发器检查:检查冷凝器是否清洁，有无积尘或堵塞现象。对于蒸发器，检查是否结霜，以及是否存在漏氟现象。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(4)通风系统检查:检查送风、回风系统是否畅通，以及空气处理设名是否正常运行。同时，清理风口处的灰尘或异物，确保空气流通畅通(5)滤网清洗:定期清洗和更换滤网，防止细菌滋生，保证送风通畅。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pStyle w:val="7"/>
        <w:rPr>
          <w:rFonts w:hint="eastAsia" w:ascii="仿宋" w:hAnsi="仿宋" w:eastAsia="仿宋" w:cs="仿宋"/>
          <w:sz w:val="32"/>
          <w:szCs w:val="32"/>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9"/>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9"/>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9"/>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2"/>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pStyle w:val="4"/>
        <w:ind w:left="0" w:leftChars="0" w:firstLine="0" w:firstLineChars="0"/>
        <w:rPr>
          <w:rFonts w:hint="default"/>
          <w:lang w:val="en-US" w:eastAsia="zh-Hans"/>
        </w:rPr>
      </w:pPr>
      <w:r>
        <w:rPr>
          <w:rFonts w:hint="eastAsia" w:ascii="黑体" w:hAnsi="黑体" w:eastAsia="黑体" w:cs="黑体"/>
          <w:sz w:val="28"/>
          <w:szCs w:val="28"/>
          <w:lang w:val="en-US" w:eastAsia="zh-CN"/>
        </w:rPr>
        <w:t>附件5</w:t>
      </w:r>
    </w:p>
    <w:p>
      <w:pPr>
        <w:jc w:val="center"/>
        <w:rPr>
          <w:rFonts w:ascii="黑体" w:hAnsi="黑体" w:eastAsia="黑体"/>
          <w:bCs/>
          <w:sz w:val="32"/>
          <w:szCs w:val="32"/>
        </w:rPr>
      </w:pPr>
      <w:r>
        <w:rPr>
          <w:rFonts w:hint="eastAsia" w:ascii="黑体" w:hAnsi="黑体" w:eastAsia="黑体"/>
          <w:bCs/>
          <w:sz w:val="32"/>
          <w:szCs w:val="32"/>
          <w:lang w:val="en-US" w:eastAsia="zh-CN"/>
        </w:rPr>
        <w:t>现场勘查</w:t>
      </w:r>
      <w:r>
        <w:rPr>
          <w:rFonts w:hint="eastAsia" w:ascii="黑体" w:hAnsi="黑体" w:eastAsia="黑体"/>
          <w:bCs/>
          <w:sz w:val="32"/>
          <w:szCs w:val="32"/>
        </w:rPr>
        <w:t>报名表</w:t>
      </w:r>
    </w:p>
    <w:tbl>
      <w:tblPr>
        <w:tblStyle w:val="9"/>
        <w:tblW w:w="96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2133"/>
        <w:gridCol w:w="1762"/>
        <w:gridCol w:w="1055"/>
        <w:gridCol w:w="1617"/>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8"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8127" w:type="dxa"/>
            <w:gridSpan w:val="5"/>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rPr>
              <w:t>珠海市香洲区</w:t>
            </w:r>
            <w:r>
              <w:rPr>
                <w:rFonts w:hint="eastAsia" w:ascii="仿宋" w:hAnsi="仿宋" w:eastAsia="仿宋" w:cs="仿宋"/>
                <w:sz w:val="28"/>
                <w:szCs w:val="28"/>
                <w:lang w:val="en-US" w:eastAsia="zh-CN"/>
              </w:rPr>
              <w:t>第二</w:t>
            </w:r>
            <w:r>
              <w:rPr>
                <w:rFonts w:hint="eastAsia" w:ascii="仿宋" w:hAnsi="仿宋" w:eastAsia="仿宋" w:cs="仿宋"/>
                <w:sz w:val="28"/>
                <w:szCs w:val="28"/>
              </w:rPr>
              <w:t>人民医院</w:t>
            </w:r>
            <w:r>
              <w:rPr>
                <w:rFonts w:hint="eastAsia" w:ascii="仿宋" w:hAnsi="仿宋" w:eastAsia="仿宋" w:cs="仿宋"/>
                <w:sz w:val="28"/>
                <w:szCs w:val="28"/>
                <w:lang w:val="en-US" w:eastAsia="zh-CN"/>
              </w:rPr>
              <w:t>空调维保</w:t>
            </w:r>
            <w:r>
              <w:rPr>
                <w:rFonts w:hint="eastAsia" w:ascii="仿宋" w:hAnsi="仿宋" w:eastAsia="仿宋" w:cs="仿宋"/>
                <w:sz w:val="28"/>
                <w:szCs w:val="28"/>
              </w:rPr>
              <w:t>服务</w:t>
            </w:r>
            <w:r>
              <w:rPr>
                <w:rFonts w:hint="eastAsia" w:ascii="仿宋" w:hAnsi="仿宋" w:eastAsia="仿宋" w:cs="仿宋"/>
                <w:sz w:val="28"/>
                <w:szCs w:val="28"/>
                <w:lang w:val="en-US" w:eastAsia="zh-CN"/>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28"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项目编号</w:t>
            </w:r>
          </w:p>
        </w:tc>
        <w:tc>
          <w:tcPr>
            <w:tcW w:w="4950" w:type="dxa"/>
            <w:gridSpan w:val="3"/>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HQDY2025017</w:t>
            </w: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lang w:eastAsia="zh-CN"/>
              </w:rPr>
              <w:t>包组</w:t>
            </w:r>
            <w:r>
              <w:rPr>
                <w:rFonts w:hint="default" w:ascii="仿宋" w:hAnsi="仿宋" w:eastAsia="仿宋" w:cs="仿宋"/>
                <w:sz w:val="28"/>
                <w:szCs w:val="28"/>
              </w:rPr>
              <w:t>号</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28" w:type="dxa"/>
            <w:vMerge w:val="restart"/>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2133"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单位名称</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黑体" w:hAnsi="黑体" w:eastAsia="黑体" w:cs="黑体"/>
                <w:b w:val="0"/>
                <w:bCs w:val="0"/>
                <w:sz w:val="24"/>
                <w:szCs w:val="24"/>
              </w:rPr>
              <w:t>（全称）</w:t>
            </w:r>
          </w:p>
        </w:tc>
        <w:tc>
          <w:tcPr>
            <w:tcW w:w="5994" w:type="dxa"/>
            <w:gridSpan w:val="4"/>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28"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2817" w:type="dxa"/>
            <w:gridSpan w:val="2"/>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sz w:val="24"/>
                <w:szCs w:val="24"/>
              </w:rPr>
            </w:pPr>
            <w:r>
              <w:rPr>
                <w:rFonts w:hint="eastAsia" w:ascii="仿宋" w:hAnsi="仿宋" w:eastAsia="仿宋" w:cs="仿宋"/>
                <w:sz w:val="28"/>
                <w:szCs w:val="28"/>
              </w:rPr>
              <w:t>固定电话</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28"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项目联系人</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姓名</w:t>
            </w:r>
          </w:p>
        </w:tc>
        <w:tc>
          <w:tcPr>
            <w:tcW w:w="2817" w:type="dxa"/>
            <w:gridSpan w:val="2"/>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项目联系人手机</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28"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邮箱</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黑体" w:hAnsi="黑体" w:eastAsia="黑体" w:cs="黑体"/>
                <w:b w:val="0"/>
                <w:bCs w:val="0"/>
                <w:sz w:val="24"/>
                <w:szCs w:val="24"/>
              </w:rPr>
              <w:t>（非常重要！请确保正确）</w:t>
            </w:r>
          </w:p>
        </w:tc>
        <w:tc>
          <w:tcPr>
            <w:tcW w:w="5994" w:type="dxa"/>
            <w:gridSpan w:val="4"/>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2" w:hRule="atLeast"/>
          <w:jc w:val="center"/>
        </w:trPr>
        <w:tc>
          <w:tcPr>
            <w:tcW w:w="5423"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承诺：我</w:t>
            </w:r>
            <w:r>
              <w:rPr>
                <w:rFonts w:hint="eastAsia" w:ascii="仿宋" w:hAnsi="仿宋" w:eastAsia="仿宋" w:cs="仿宋"/>
                <w:sz w:val="28"/>
                <w:szCs w:val="28"/>
                <w:lang w:val="en-US" w:eastAsia="zh-CN"/>
              </w:rPr>
              <w:t>单位</w:t>
            </w:r>
            <w:r>
              <w:rPr>
                <w:rFonts w:hint="eastAsia" w:ascii="仿宋" w:hAnsi="仿宋" w:eastAsia="仿宋" w:cs="仿宋"/>
                <w:sz w:val="28"/>
                <w:szCs w:val="28"/>
              </w:rPr>
              <w:t>承诺以上所填资料真实可靠。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bCs w:val="0"/>
                <w:kern w:val="0"/>
                <w:sz w:val="28"/>
                <w:szCs w:val="28"/>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Cs/>
                <w:kern w:val="0"/>
                <w:sz w:val="28"/>
                <w:szCs w:val="28"/>
                <w:u w:val="single"/>
              </w:rPr>
            </w:pPr>
            <w:r>
              <w:rPr>
                <w:rFonts w:hint="eastAsia" w:ascii="仿宋" w:hAnsi="仿宋" w:eastAsia="仿宋" w:cs="仿宋"/>
                <w:bCs/>
                <w:kern w:val="0"/>
                <w:sz w:val="28"/>
                <w:szCs w:val="28"/>
                <w:lang w:val="en-US" w:eastAsia="zh-CN"/>
              </w:rPr>
              <w:t>勘查</w:t>
            </w:r>
            <w:r>
              <w:rPr>
                <w:rFonts w:hint="eastAsia" w:ascii="仿宋" w:hAnsi="仿宋" w:eastAsia="仿宋" w:cs="仿宋"/>
                <w:bCs/>
                <w:kern w:val="0"/>
                <w:sz w:val="28"/>
                <w:szCs w:val="28"/>
              </w:rPr>
              <w:t>人签字：</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p>
          <w:p>
            <w:pPr>
              <w:pStyle w:val="4"/>
              <w:spacing w:line="240" w:lineRule="auto"/>
              <w:ind w:left="0" w:leftChars="0" w:firstLine="0" w:firstLineChars="0"/>
              <w:rPr>
                <w:rFonts w:hint="eastAsia" w:ascii="仿宋" w:hAnsi="仿宋" w:eastAsia="仿宋" w:cs="仿宋"/>
                <w:sz w:val="28"/>
                <w:szCs w:val="28"/>
              </w:rPr>
            </w:pPr>
          </w:p>
          <w:p>
            <w:pPr>
              <w:keepNext w:val="0"/>
              <w:keepLines w:val="0"/>
              <w:suppressLineNumbers w:val="0"/>
              <w:adjustRightInd w:val="0"/>
              <w:snapToGrid w:val="0"/>
              <w:spacing w:before="0" w:beforeAutospacing="0" w:after="0" w:afterAutospacing="0" w:line="240" w:lineRule="auto"/>
              <w:ind w:left="0" w:right="0"/>
              <w:rPr>
                <w:rFonts w:hint="default" w:ascii="仿宋" w:hAnsi="仿宋" w:eastAsia="仿宋" w:cs="仿宋"/>
                <w:sz w:val="28"/>
                <w:szCs w:val="28"/>
              </w:rPr>
            </w:pPr>
            <w:r>
              <w:rPr>
                <w:rFonts w:hint="eastAsia" w:ascii="仿宋" w:hAnsi="仿宋" w:eastAsia="仿宋" w:cs="仿宋"/>
                <w:bCs/>
                <w:kern w:val="0"/>
                <w:sz w:val="28"/>
                <w:szCs w:val="28"/>
              </w:rPr>
              <w:t>报名日期：</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年</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月</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日</w:t>
            </w:r>
          </w:p>
        </w:tc>
        <w:tc>
          <w:tcPr>
            <w:tcW w:w="4232"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单位盖章：</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pStyle w:val="4"/>
              <w:ind w:left="0" w:leftChars="0" w:firstLine="0" w:firstLineChars="0"/>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528"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声明</w:t>
            </w:r>
          </w:p>
        </w:tc>
        <w:tc>
          <w:tcPr>
            <w:tcW w:w="8127" w:type="dxa"/>
            <w:gridSpan w:val="5"/>
            <w:noWrap/>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仿宋"/>
                <w:lang w:val="en-US" w:eastAsia="zh-CN"/>
              </w:rPr>
            </w:pPr>
            <w:r>
              <w:rPr>
                <w:rFonts w:hint="eastAsia" w:ascii="仿宋" w:hAnsi="仿宋" w:eastAsia="仿宋" w:cs="仿宋"/>
                <w:sz w:val="28"/>
                <w:szCs w:val="28"/>
                <w:lang w:val="en-US" w:eastAsia="zh-CN"/>
              </w:rPr>
              <w:t>参与市场调研勘查</w:t>
            </w:r>
            <w:r>
              <w:rPr>
                <w:rFonts w:hint="eastAsia" w:ascii="仿宋" w:hAnsi="仿宋" w:eastAsia="仿宋" w:cs="仿宋"/>
                <w:sz w:val="28"/>
                <w:szCs w:val="28"/>
                <w:lang w:eastAsia="zh-CN"/>
              </w:rPr>
              <w:t>单位</w:t>
            </w:r>
            <w:r>
              <w:rPr>
                <w:rFonts w:hint="eastAsia" w:ascii="仿宋" w:hAnsi="仿宋" w:eastAsia="仿宋" w:cs="仿宋"/>
                <w:sz w:val="28"/>
                <w:szCs w:val="28"/>
                <w:lang w:val="en-US" w:eastAsia="zh-CN"/>
              </w:rPr>
              <w:t>发送本项目报名表至采购公告指定邮箱，视为有效送达。</w:t>
            </w:r>
          </w:p>
        </w:tc>
      </w:tr>
    </w:tbl>
    <w:p>
      <w:pPr>
        <w:widowControl w:val="0"/>
        <w:jc w:val="both"/>
        <w:rPr>
          <w:rFonts w:ascii="宋体" w:hAnsi="Courier New" w:cs="Courier New" w:eastAsiaTheme="minorEastAsia"/>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lang w:val="en-US" w:eastAsia="zh-CN"/>
        </w:rPr>
        <w:t>空调维保</w:t>
      </w:r>
      <w:r>
        <w:rPr>
          <w:rFonts w:hint="eastAsia" w:ascii="黑体" w:hAnsi="黑体" w:eastAsia="黑体" w:cs="黑体"/>
          <w:sz w:val="28"/>
          <w:szCs w:val="28"/>
          <w:lang w:eastAsia="zh-CN"/>
        </w:rPr>
        <w:t>服务项目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4370"/>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70" w:type="pct"/>
            <w:tcBorders>
              <w:top w:val="single" w:color="auto" w:sz="4" w:space="0"/>
            </w:tcBorders>
            <w:shd w:val="clear" w:color="auto" w:fill="EEECE1"/>
            <w:noWrap w:val="0"/>
            <w:vAlign w:val="center"/>
          </w:tcPr>
          <w:p>
            <w:pPr>
              <w:snapToGrid w:val="0"/>
              <w:spacing w:line="240" w:lineRule="auto"/>
              <w:ind w:right="-38" w:rightChars="-18"/>
              <w:jc w:val="center"/>
              <w:rPr>
                <w:rFonts w:ascii="宋体" w:hAnsi="宋体" w:cs="宋体"/>
                <w:b/>
                <w:bCs/>
              </w:rPr>
            </w:pPr>
            <w:r>
              <w:rPr>
                <w:rFonts w:hint="eastAsia" w:ascii="宋体" w:hAnsi="宋体" w:cs="宋体"/>
                <w:b/>
                <w:bCs/>
              </w:rPr>
              <w:t>项目名称</w:t>
            </w:r>
          </w:p>
        </w:tc>
        <w:tc>
          <w:tcPr>
            <w:tcW w:w="2412" w:type="pct"/>
            <w:tcBorders>
              <w:top w:val="single" w:color="auto" w:sz="4" w:space="0"/>
            </w:tcBorders>
            <w:shd w:val="clear" w:color="auto" w:fill="EEECE1"/>
            <w:noWrap w:val="0"/>
            <w:vAlign w:val="center"/>
          </w:tcPr>
          <w:p>
            <w:pPr>
              <w:snapToGrid w:val="0"/>
              <w:spacing w:line="240" w:lineRule="auto"/>
              <w:ind w:right="-38" w:rightChars="-18"/>
              <w:jc w:val="center"/>
              <w:rPr>
                <w:rFonts w:hint="default" w:ascii="宋体" w:hAnsi="宋体" w:cs="宋体" w:eastAsiaTheme="minorEastAsia"/>
                <w:b/>
                <w:bCs/>
                <w:lang w:val="en-US" w:eastAsia="zh-CN"/>
              </w:rPr>
            </w:pPr>
            <w:r>
              <w:rPr>
                <w:rFonts w:hint="eastAsia" w:ascii="宋体" w:hAnsi="宋体" w:cs="宋体"/>
                <w:b/>
                <w:bCs/>
                <w:lang w:val="en-US" w:eastAsia="zh-CN"/>
              </w:rPr>
              <w:t>维保方式</w:t>
            </w:r>
          </w:p>
        </w:tc>
        <w:tc>
          <w:tcPr>
            <w:tcW w:w="1817" w:type="pct"/>
            <w:tcBorders>
              <w:top w:val="single" w:color="auto" w:sz="4" w:space="0"/>
            </w:tcBorders>
            <w:shd w:val="clear" w:color="auto" w:fill="EEECE1"/>
            <w:noWrap w:val="0"/>
            <w:vAlign w:val="center"/>
          </w:tcPr>
          <w:p>
            <w:pPr>
              <w:snapToGrid w:val="0"/>
              <w:spacing w:line="240" w:lineRule="auto"/>
              <w:ind w:right="-38" w:rightChars="-18"/>
              <w:jc w:val="center"/>
              <w:rPr>
                <w:rFonts w:hint="eastAsia" w:ascii="宋体" w:hAnsi="宋体" w:cs="宋体"/>
                <w:b/>
                <w:bCs/>
              </w:rPr>
            </w:pPr>
            <w:r>
              <w:rPr>
                <w:rFonts w:hint="eastAsia" w:ascii="宋体" w:hAnsi="宋体" w:cs="宋体"/>
                <w:b/>
                <w:bCs/>
                <w:lang w:val="en-US" w:eastAsia="zh-CN"/>
              </w:rPr>
              <w:t>投标总价（含税价）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jc w:val="center"/>
        </w:trPr>
        <w:tc>
          <w:tcPr>
            <w:tcW w:w="770" w:type="pct"/>
            <w:vMerge w:val="restart"/>
            <w:noWrap w:val="0"/>
            <w:vAlign w:val="center"/>
          </w:tcPr>
          <w:p>
            <w:pPr>
              <w:spacing w:line="360" w:lineRule="auto"/>
              <w:ind w:left="-94" w:leftChars="-45" w:right="-69" w:rightChars="-33"/>
              <w:jc w:val="center"/>
              <w:rPr>
                <w:rFonts w:hint="eastAsia"/>
                <w:lang w:val="en-US" w:eastAsia="zh-CN"/>
              </w:rPr>
            </w:pPr>
            <w:r>
              <w:rPr>
                <w:rFonts w:hint="eastAsia"/>
                <w:lang w:val="en-US" w:eastAsia="zh-CN"/>
              </w:rPr>
              <w:t>珠海市香洲区第二人民医院空调维保服务采购项目</w:t>
            </w:r>
          </w:p>
          <w:p>
            <w:pPr>
              <w:pStyle w:val="2"/>
              <w:rPr>
                <w:rFonts w:hint="eastAsia"/>
                <w:lang w:eastAsia="zh-CN"/>
              </w:rPr>
            </w:pPr>
          </w:p>
        </w:tc>
        <w:tc>
          <w:tcPr>
            <w:tcW w:w="2412" w:type="pct"/>
            <w:noWrap w:val="0"/>
            <w:vAlign w:val="center"/>
          </w:tcPr>
          <w:p>
            <w:pPr>
              <w:pStyle w:val="2"/>
              <w:rPr>
                <w:rFonts w:hint="eastAsia" w:asciiTheme="minorHAnsi" w:hAnsiTheme="minorHAnsi" w:eastAsiaTheme="minorEastAsia" w:cstheme="minorBidi"/>
                <w:kern w:val="2"/>
                <w:sz w:val="21"/>
                <w:szCs w:val="24"/>
                <w:lang w:val="en-US" w:eastAsia="zh-CN" w:bidi="ar-SA"/>
              </w:rPr>
            </w:pPr>
            <w:r>
              <w:rPr>
                <w:rFonts w:hint="eastAsia" w:cstheme="minorBidi"/>
                <w:b/>
                <w:bCs/>
                <w:kern w:val="2"/>
                <w:sz w:val="21"/>
                <w:szCs w:val="24"/>
                <w:lang w:val="en-US" w:eastAsia="zh-CN" w:bidi="ar-SA"/>
              </w:rPr>
              <w:t>方式1：</w:t>
            </w:r>
            <w:r>
              <w:rPr>
                <w:rFonts w:hint="eastAsia" w:asciiTheme="minorHAnsi" w:hAnsiTheme="minorHAnsi" w:eastAsiaTheme="minorEastAsia" w:cstheme="minorBidi"/>
                <w:b/>
                <w:bCs/>
                <w:kern w:val="2"/>
                <w:sz w:val="21"/>
                <w:szCs w:val="24"/>
                <w:lang w:val="en-US" w:eastAsia="zh-CN" w:bidi="ar-SA"/>
              </w:rPr>
              <w:t>采用全包责任方式</w:t>
            </w:r>
            <w:r>
              <w:rPr>
                <w:rFonts w:hint="eastAsia" w:cstheme="minorBidi"/>
                <w:kern w:val="2"/>
                <w:sz w:val="21"/>
                <w:szCs w:val="24"/>
                <w:lang w:val="en-US" w:eastAsia="zh-CN" w:bidi="ar-SA"/>
              </w:rPr>
              <w:t>（包括服务范围内的人工费、管理费用、相关工具用具及劳保用品服装的使用费用、维护期内所有正常使用过程中损坏的零部件更换费、材料费、物资费、设备折旧费、加班费、突发作业费、保险费及各项税费等一切与完成本项目相关费用及合同实施过程中应预见和不可预见费用。）</w:t>
            </w:r>
          </w:p>
        </w:tc>
        <w:tc>
          <w:tcPr>
            <w:tcW w:w="1817" w:type="pct"/>
            <w:noWrap w:val="0"/>
            <w:vAlign w:val="center"/>
          </w:tcPr>
          <w:p>
            <w:pPr>
              <w:spacing w:line="360" w:lineRule="auto"/>
              <w:rPr>
                <w:rFonts w:hAnsi="宋体" w:cs="宋体"/>
                <w:u w:val="single"/>
              </w:rPr>
            </w:pPr>
            <w:r>
              <w:rPr>
                <w:rFonts w:hint="eastAsia" w:hAnsi="宋体" w:cs="宋体"/>
                <w:u w:val="single"/>
              </w:rPr>
              <w:t xml:space="preserve">大写：       </w:t>
            </w:r>
            <w:r>
              <w:rPr>
                <w:rFonts w:hint="eastAsia" w:cs="宋体"/>
                <w:u w:val="single"/>
                <w:lang w:val="en-US" w:eastAsia="zh-CN"/>
              </w:rPr>
              <w:t xml:space="preserve">    </w:t>
            </w:r>
            <w:r>
              <w:rPr>
                <w:rFonts w:hint="eastAsia" w:hAnsi="宋体" w:cs="宋体"/>
                <w:u w:val="single"/>
              </w:rPr>
              <w:t xml:space="preserve">    </w:t>
            </w:r>
            <w:r>
              <w:rPr>
                <w:rFonts w:hint="eastAsia" w:ascii="宋体" w:hAnsi="宋体" w:cs="宋体"/>
              </w:rPr>
              <w:t>（元）</w:t>
            </w:r>
          </w:p>
          <w:p>
            <w:pPr>
              <w:spacing w:line="360" w:lineRule="auto"/>
              <w:rPr>
                <w:rFonts w:hint="eastAsia" w:ascii="宋体" w:hAnsi="宋体" w:cs="宋体"/>
              </w:rPr>
            </w:pPr>
            <w:r>
              <w:rPr>
                <w:rFonts w:hint="eastAsia" w:ascii="宋体" w:hAnsi="宋体" w:cs="宋体"/>
                <w:u w:val="single"/>
              </w:rPr>
              <w:t xml:space="preserve">小写：               </w:t>
            </w:r>
            <w:r>
              <w:rPr>
                <w:rFonts w:hint="eastAsia" w:ascii="宋体"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770" w:type="pct"/>
            <w:vMerge w:val="continue"/>
            <w:noWrap w:val="0"/>
            <w:vAlign w:val="center"/>
          </w:tcPr>
          <w:p>
            <w:pPr>
              <w:pStyle w:val="2"/>
              <w:rPr>
                <w:rFonts w:hint="eastAsia" w:asciiTheme="minorHAnsi" w:hAnsiTheme="minorHAnsi" w:eastAsiaTheme="minorEastAsia" w:cstheme="minorBidi"/>
                <w:kern w:val="2"/>
                <w:sz w:val="21"/>
                <w:szCs w:val="24"/>
                <w:lang w:val="en-US" w:eastAsia="zh-CN" w:bidi="ar-SA"/>
              </w:rPr>
            </w:pPr>
          </w:p>
        </w:tc>
        <w:tc>
          <w:tcPr>
            <w:tcW w:w="2412" w:type="pct"/>
            <w:noWrap w:val="0"/>
            <w:vAlign w:val="center"/>
          </w:tcPr>
          <w:p>
            <w:pPr>
              <w:pStyle w:val="2"/>
              <w:rPr>
                <w:rFonts w:hint="eastAsia" w:asciiTheme="minorHAnsi" w:hAnsiTheme="minorHAnsi" w:eastAsiaTheme="minorEastAsia" w:cstheme="minorBidi"/>
                <w:kern w:val="2"/>
                <w:sz w:val="21"/>
                <w:szCs w:val="24"/>
                <w:lang w:val="en-US" w:eastAsia="zh-CN" w:bidi="ar-SA"/>
              </w:rPr>
            </w:pPr>
            <w:r>
              <w:rPr>
                <w:rFonts w:hint="eastAsia" w:cstheme="minorBidi"/>
                <w:b/>
                <w:bCs/>
                <w:kern w:val="2"/>
                <w:sz w:val="21"/>
                <w:szCs w:val="24"/>
                <w:lang w:val="en-US" w:eastAsia="zh-CN" w:bidi="ar-SA"/>
              </w:rPr>
              <w:t>方式2：</w:t>
            </w:r>
            <w:r>
              <w:rPr>
                <w:rFonts w:hint="eastAsia" w:asciiTheme="minorHAnsi" w:hAnsiTheme="minorHAnsi" w:eastAsiaTheme="minorEastAsia" w:cstheme="minorBidi"/>
                <w:b/>
                <w:bCs/>
                <w:kern w:val="2"/>
                <w:sz w:val="21"/>
                <w:szCs w:val="24"/>
                <w:lang w:val="en-US" w:eastAsia="zh-CN" w:bidi="ar-SA"/>
              </w:rPr>
              <w:t>采用半包的责任方式</w:t>
            </w: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即含人工及除压缩机除外所有配件，例如空调补加雪种、显示板、控制板、尘网、摇控器、风轮、风扇、电容、接触器等，单价300元以内（含300元）的配件由服务公司承担相应更换费用，单价超过300元以上的由医院归口管理部门确认后由医院承担相应更换费用）。</w:t>
            </w:r>
          </w:p>
        </w:tc>
        <w:tc>
          <w:tcPr>
            <w:tcW w:w="1817" w:type="pct"/>
            <w:noWrap w:val="0"/>
            <w:vAlign w:val="center"/>
          </w:tcPr>
          <w:p>
            <w:pPr>
              <w:spacing w:line="360" w:lineRule="auto"/>
              <w:rPr>
                <w:rFonts w:hAnsi="宋体" w:cs="宋体"/>
                <w:u w:val="single"/>
              </w:rPr>
            </w:pPr>
            <w:r>
              <w:rPr>
                <w:rFonts w:hint="eastAsia" w:hAnsi="宋体" w:cs="宋体"/>
                <w:u w:val="single"/>
              </w:rPr>
              <w:t xml:space="preserve">大写：       </w:t>
            </w:r>
            <w:r>
              <w:rPr>
                <w:rFonts w:hint="eastAsia" w:cs="宋体"/>
                <w:u w:val="single"/>
                <w:lang w:val="en-US" w:eastAsia="zh-CN"/>
              </w:rPr>
              <w:t xml:space="preserve">    </w:t>
            </w:r>
            <w:r>
              <w:rPr>
                <w:rFonts w:hint="eastAsia" w:hAnsi="宋体" w:cs="宋体"/>
                <w:u w:val="single"/>
              </w:rPr>
              <w:t xml:space="preserve">    </w:t>
            </w:r>
            <w:r>
              <w:rPr>
                <w:rFonts w:hint="eastAsia" w:ascii="宋体" w:hAnsi="宋体" w:cs="宋体"/>
              </w:rPr>
              <w:t>（元）</w:t>
            </w:r>
          </w:p>
          <w:p>
            <w:pPr>
              <w:spacing w:line="360" w:lineRule="auto"/>
              <w:rPr>
                <w:rFonts w:hint="eastAsia" w:ascii="宋体" w:hAnsi="宋体" w:cs="宋体"/>
                <w:u w:val="single"/>
              </w:rPr>
            </w:pPr>
            <w:r>
              <w:rPr>
                <w:rFonts w:hint="eastAsia" w:ascii="宋体" w:hAnsi="宋体" w:cs="宋体"/>
                <w:u w:val="single"/>
              </w:rPr>
              <w:t xml:space="preserve">小写：               </w:t>
            </w:r>
            <w:r>
              <w:rPr>
                <w:rFonts w:hint="eastAsia" w:ascii="宋体" w:hAnsi="宋体" w:cs="宋体"/>
              </w:rPr>
              <w:t>（元）</w:t>
            </w:r>
          </w:p>
        </w:tc>
      </w:tr>
    </w:tbl>
    <w:p>
      <w:pPr>
        <w:widowControl/>
        <w:autoSpaceDE/>
        <w:autoSpaceDN/>
        <w:spacing w:before="0" w:after="0" w:line="400" w:lineRule="exact"/>
        <w:ind w:left="945" w:right="0" w:hanging="945" w:hangingChars="450"/>
        <w:jc w:val="left"/>
        <w:rPr>
          <w:rFonts w:ascii="宋体" w:hAnsi="宋体" w:cs="宋体"/>
          <w:color w:val="auto"/>
          <w:sz w:val="21"/>
          <w:szCs w:val="20"/>
          <w:highlight w:val="none"/>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cs="宋体"/>
        </w:rPr>
      </w:pPr>
      <w:r>
        <w:rPr>
          <w:rFonts w:hint="eastAsia" w:ascii="宋体" w:hAnsi="宋体" w:cs="宋体"/>
        </w:rPr>
        <w:t xml:space="preserve">报价单位授权代表签字或签章：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cs="宋体"/>
        </w:rPr>
      </w:pPr>
      <w:r>
        <w:rPr>
          <w:rFonts w:hint="eastAsia" w:ascii="宋体" w:hAnsi="宋体" w:cs="宋体"/>
        </w:rPr>
        <w:t xml:space="preserve">报价单位名称（加盖投标人公章）：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cs="宋体"/>
          <w:b/>
          <w:bCs/>
        </w:rPr>
      </w:pPr>
      <w:r>
        <w:rPr>
          <w:rFonts w:hint="eastAsia" w:ascii="宋体" w:hAnsi="宋体" w:cs="宋体"/>
        </w:rPr>
        <w:t xml:space="preserve">日期：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备注：</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中文大写金额用汉字，如壹、贰、叁、肆、伍、陆、柒、捌、玖、拾、佰、仟、万、亿、元、角、分、零、整（正）等。</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2．报标总价填写无条件折扣后的总价，不得填写除价格外的任何其他优惠。有条件折扣不得填写，报价将无效。</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3．报价形式为总价包干，包含如人力成本、差旅费、为完成服务产生的必要其他费用、税费等一切与完成本项目相关费用及合同实施过程中应预见和不可预见费用。所有价格均应以人民币报价，金额单位为元。</w:t>
      </w:r>
    </w:p>
    <w:p>
      <w:pPr>
        <w:spacing w:line="240" w:lineRule="auto"/>
        <w:ind w:firstLine="0" w:firstLineChars="0"/>
        <w:rPr>
          <w:rFonts w:hint="eastAsia" w:ascii="宋体" w:hAnsi="宋体" w:cs="宋体"/>
          <w:bCs w:val="0"/>
          <w:szCs w:val="21"/>
        </w:rPr>
      </w:pPr>
      <w:r>
        <w:rPr>
          <w:rFonts w:hint="eastAsia" w:ascii="宋体" w:hAnsi="宋体" w:cs="宋体"/>
          <w:bCs w:val="0"/>
          <w:szCs w:val="21"/>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附件7</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大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0A81B34"/>
    <w:rsid w:val="01550F0B"/>
    <w:rsid w:val="016844D0"/>
    <w:rsid w:val="035C1F7D"/>
    <w:rsid w:val="03DE0940"/>
    <w:rsid w:val="07895671"/>
    <w:rsid w:val="07D478A0"/>
    <w:rsid w:val="084A59C2"/>
    <w:rsid w:val="09DA083D"/>
    <w:rsid w:val="0A782CB2"/>
    <w:rsid w:val="0D7D12A8"/>
    <w:rsid w:val="0E6F5449"/>
    <w:rsid w:val="0E8D6E57"/>
    <w:rsid w:val="0F4D4DE6"/>
    <w:rsid w:val="0FB97997"/>
    <w:rsid w:val="10190F86"/>
    <w:rsid w:val="11925B9F"/>
    <w:rsid w:val="11D34A91"/>
    <w:rsid w:val="137F1EFC"/>
    <w:rsid w:val="14417F2B"/>
    <w:rsid w:val="151F30B3"/>
    <w:rsid w:val="158D571D"/>
    <w:rsid w:val="15DF7E99"/>
    <w:rsid w:val="166C653F"/>
    <w:rsid w:val="16AF1081"/>
    <w:rsid w:val="17180C70"/>
    <w:rsid w:val="174043B2"/>
    <w:rsid w:val="176B01B3"/>
    <w:rsid w:val="177A26C9"/>
    <w:rsid w:val="1953008F"/>
    <w:rsid w:val="19703EEB"/>
    <w:rsid w:val="19713CAD"/>
    <w:rsid w:val="19B1173A"/>
    <w:rsid w:val="1A6121A5"/>
    <w:rsid w:val="1A9B7001"/>
    <w:rsid w:val="1B9D191C"/>
    <w:rsid w:val="1CCA283A"/>
    <w:rsid w:val="1D4328FA"/>
    <w:rsid w:val="1EB16472"/>
    <w:rsid w:val="1FBA1115"/>
    <w:rsid w:val="20BE3311"/>
    <w:rsid w:val="20D717F2"/>
    <w:rsid w:val="227A4F8A"/>
    <w:rsid w:val="23D24A5F"/>
    <w:rsid w:val="24BD4C17"/>
    <w:rsid w:val="25135825"/>
    <w:rsid w:val="256604EB"/>
    <w:rsid w:val="25806D2C"/>
    <w:rsid w:val="27345D8C"/>
    <w:rsid w:val="27C93298"/>
    <w:rsid w:val="28910625"/>
    <w:rsid w:val="29A10D4F"/>
    <w:rsid w:val="2BF612E4"/>
    <w:rsid w:val="2CD852BF"/>
    <w:rsid w:val="2D0D3704"/>
    <w:rsid w:val="2D376058"/>
    <w:rsid w:val="2DA44F53"/>
    <w:rsid w:val="2E426ADD"/>
    <w:rsid w:val="2F67730C"/>
    <w:rsid w:val="2FE14059"/>
    <w:rsid w:val="3125512E"/>
    <w:rsid w:val="319D15B4"/>
    <w:rsid w:val="33063387"/>
    <w:rsid w:val="33C95D76"/>
    <w:rsid w:val="347002E9"/>
    <w:rsid w:val="35C81BDA"/>
    <w:rsid w:val="36A962BD"/>
    <w:rsid w:val="37116F51"/>
    <w:rsid w:val="375E73E5"/>
    <w:rsid w:val="37A63923"/>
    <w:rsid w:val="37A83E24"/>
    <w:rsid w:val="38145B8F"/>
    <w:rsid w:val="39994A84"/>
    <w:rsid w:val="3A516FD8"/>
    <w:rsid w:val="3BA50630"/>
    <w:rsid w:val="3EBE64E4"/>
    <w:rsid w:val="3FB843F3"/>
    <w:rsid w:val="40807849"/>
    <w:rsid w:val="410E6FDE"/>
    <w:rsid w:val="415D385D"/>
    <w:rsid w:val="41891036"/>
    <w:rsid w:val="41AB1CCA"/>
    <w:rsid w:val="41DC29A3"/>
    <w:rsid w:val="41EC62E1"/>
    <w:rsid w:val="43074023"/>
    <w:rsid w:val="43A15100"/>
    <w:rsid w:val="43E24A77"/>
    <w:rsid w:val="43FD1919"/>
    <w:rsid w:val="44985B95"/>
    <w:rsid w:val="44FD6334"/>
    <w:rsid w:val="44FF5223"/>
    <w:rsid w:val="45FE1F53"/>
    <w:rsid w:val="47E941C7"/>
    <w:rsid w:val="47FA65A7"/>
    <w:rsid w:val="48297555"/>
    <w:rsid w:val="48627FD5"/>
    <w:rsid w:val="48770E05"/>
    <w:rsid w:val="491757CE"/>
    <w:rsid w:val="4B4A4647"/>
    <w:rsid w:val="4C327364"/>
    <w:rsid w:val="4C5B3EF4"/>
    <w:rsid w:val="50E100E3"/>
    <w:rsid w:val="515E4D86"/>
    <w:rsid w:val="521F3CD7"/>
    <w:rsid w:val="53BD3A80"/>
    <w:rsid w:val="5490229E"/>
    <w:rsid w:val="54C44181"/>
    <w:rsid w:val="55E53F49"/>
    <w:rsid w:val="57626350"/>
    <w:rsid w:val="58B66AD4"/>
    <w:rsid w:val="597A7C89"/>
    <w:rsid w:val="5A47647E"/>
    <w:rsid w:val="5A4C3614"/>
    <w:rsid w:val="5A7E3352"/>
    <w:rsid w:val="5C082009"/>
    <w:rsid w:val="5CBC2BA5"/>
    <w:rsid w:val="5CC0243E"/>
    <w:rsid w:val="5D351D28"/>
    <w:rsid w:val="5F6B4CFE"/>
    <w:rsid w:val="5F716A46"/>
    <w:rsid w:val="5FF7662A"/>
    <w:rsid w:val="60777FDD"/>
    <w:rsid w:val="634E16F7"/>
    <w:rsid w:val="634F4664"/>
    <w:rsid w:val="641D525C"/>
    <w:rsid w:val="641F6CF3"/>
    <w:rsid w:val="649E79F6"/>
    <w:rsid w:val="66195D1F"/>
    <w:rsid w:val="6AAC3C13"/>
    <w:rsid w:val="6AD64BE3"/>
    <w:rsid w:val="6B3C4644"/>
    <w:rsid w:val="6B6F5FBC"/>
    <w:rsid w:val="6BDE45BF"/>
    <w:rsid w:val="6C4064B4"/>
    <w:rsid w:val="6C785A05"/>
    <w:rsid w:val="6D2B41CC"/>
    <w:rsid w:val="6F47651F"/>
    <w:rsid w:val="70722363"/>
    <w:rsid w:val="716A5BEF"/>
    <w:rsid w:val="72775876"/>
    <w:rsid w:val="72BA48D7"/>
    <w:rsid w:val="72C2030B"/>
    <w:rsid w:val="74986821"/>
    <w:rsid w:val="7628242E"/>
    <w:rsid w:val="769E7DAB"/>
    <w:rsid w:val="771C16E4"/>
    <w:rsid w:val="77492442"/>
    <w:rsid w:val="77A449ED"/>
    <w:rsid w:val="782C06D6"/>
    <w:rsid w:val="783A413A"/>
    <w:rsid w:val="7C762337"/>
    <w:rsid w:val="7DDC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0"/>
    </w:rPr>
  </w:style>
  <w:style w:type="paragraph" w:styleId="3">
    <w:name w:val="Plain Text"/>
    <w:basedOn w:val="1"/>
    <w:next w:val="1"/>
    <w:qFormat/>
    <w:uiPriority w:val="0"/>
    <w:rPr>
      <w:rFonts w:ascii="宋体" w:hAnsi="Courier New" w:cs="Courier New"/>
      <w:szCs w:val="21"/>
    </w:rPr>
  </w:style>
  <w:style w:type="paragraph" w:styleId="4">
    <w:name w:val="Body Text Indent 2"/>
    <w:basedOn w:val="1"/>
    <w:qFormat/>
    <w:uiPriority w:val="0"/>
    <w:pPr>
      <w:spacing w:line="480" w:lineRule="exact"/>
      <w:ind w:left="810" w:firstLine="675"/>
    </w:pPr>
    <w:rPr>
      <w:rFonts w:eastAsia="仿宋_GB2312"/>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center"/>
    </w:pPr>
    <w:rPr>
      <w:rFonts w:ascii="宋体" w:hAnsi="宋体"/>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41"/>
    <w:basedOn w:val="11"/>
    <w:qFormat/>
    <w:uiPriority w:val="0"/>
    <w:rPr>
      <w:rFonts w:hint="default" w:ascii="Times New Roman" w:hAnsi="Times New Roman" w:cs="Times New Roman"/>
      <w:b/>
      <w:bCs/>
      <w:color w:val="000000"/>
      <w:sz w:val="20"/>
      <w:szCs w:val="20"/>
      <w:u w:val="none"/>
    </w:rPr>
  </w:style>
  <w:style w:type="character" w:customStyle="1" w:styleId="16">
    <w:name w:val="font31"/>
    <w:basedOn w:val="11"/>
    <w:qFormat/>
    <w:uiPriority w:val="0"/>
    <w:rPr>
      <w:rFonts w:hint="eastAsia" w:ascii="宋体" w:hAnsi="宋体" w:eastAsia="宋体" w:cs="宋体"/>
      <w:b/>
      <w:bCs/>
      <w:color w:val="000000"/>
      <w:sz w:val="20"/>
      <w:szCs w:val="20"/>
      <w:u w:val="none"/>
    </w:rPr>
  </w:style>
  <w:style w:type="character" w:customStyle="1" w:styleId="17">
    <w:name w:val="font71"/>
    <w:basedOn w:val="11"/>
    <w:qFormat/>
    <w:uiPriority w:val="0"/>
    <w:rPr>
      <w:rFonts w:hint="default" w:ascii="Times New Roman" w:hAnsi="Times New Roman" w:cs="Times New Roman"/>
      <w:b/>
      <w:bCs/>
      <w:color w:val="000000"/>
      <w:sz w:val="20"/>
      <w:szCs w:val="20"/>
      <w:u w:val="none"/>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1级标题"/>
    <w:basedOn w:val="20"/>
    <w:qFormat/>
    <w:uiPriority w:val="0"/>
    <w:pPr>
      <w:spacing w:after="113" w:afterLines="0" w:line="440" w:lineRule="atLeast"/>
      <w:ind w:firstLine="425"/>
    </w:pPr>
    <w:rPr>
      <w:rFonts w:ascii="汉仪大宋简" w:eastAsia="汉仪大宋简"/>
      <w:spacing w:val="4"/>
      <w:sz w:val="26"/>
      <w:szCs w:val="26"/>
    </w:rPr>
  </w:style>
  <w:style w:type="paragraph" w:customStyle="1" w:styleId="20">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10</Pages>
  <Words>3397</Words>
  <Characters>3608</Characters>
  <Lines>0</Lines>
  <Paragraphs>0</Paragraphs>
  <TotalTime>10</TotalTime>
  <ScaleCrop>false</ScaleCrop>
  <LinksUpToDate>false</LinksUpToDate>
  <CharactersWithSpaces>3745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内审DXL</cp:lastModifiedBy>
  <cp:lastPrinted>2025-05-19T09:39:00Z</cp:lastPrinted>
  <dcterms:modified xsi:type="dcterms:W3CDTF">2025-08-14T09:33:07Z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eyJoZGlkIjoiYzk2NzUxMzcxNWJjNWNmMzgwMmNiYTc1M2U2YThlYjAifQ==</vt:lpwstr>
  </property>
</Properties>
</file>