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line="360" w:lineRule="auto"/>
        <w:ind w:left="0" w:leftChars="0" w:firstLine="0" w:firstLineChars="0"/>
        <w:rPr>
          <w:rFonts w:hint="eastAsia" w:ascii="宋体" w:hAnsi="宋体" w:cs="宋体"/>
          <w:b/>
          <w:sz w:val="28"/>
        </w:rPr>
      </w:pPr>
    </w:p>
    <w:p>
      <w:pPr>
        <w:pStyle w:val="14"/>
        <w:spacing w:line="360" w:lineRule="auto"/>
        <w:ind w:left="0" w:leftChars="0" w:firstLine="0" w:firstLineChars="0"/>
        <w:rPr>
          <w:rFonts w:hint="eastAsia" w:ascii="宋体" w:hAnsi="宋体" w:cs="宋体"/>
          <w:b/>
          <w:sz w:val="28"/>
        </w:rPr>
      </w:pPr>
    </w:p>
    <w:p>
      <w:pPr>
        <w:pStyle w:val="14"/>
        <w:spacing w:line="360" w:lineRule="auto"/>
        <w:ind w:left="0" w:leftChars="0" w:firstLine="0" w:firstLineChars="0"/>
        <w:rPr>
          <w:rFonts w:hint="eastAsia" w:ascii="宋体" w:hAnsi="宋体" w:cs="宋体"/>
          <w:b/>
          <w:sz w:val="28"/>
        </w:rPr>
      </w:pPr>
    </w:p>
    <w:p>
      <w:pPr>
        <w:pStyle w:val="14"/>
        <w:spacing w:line="360" w:lineRule="auto"/>
        <w:ind w:left="0" w:leftChars="0" w:firstLine="0" w:firstLineChars="0"/>
        <w:rPr>
          <w:rFonts w:hint="eastAsia" w:ascii="宋体" w:hAnsi="宋体" w:cs="宋体"/>
          <w:b/>
          <w:sz w:val="28"/>
        </w:rPr>
      </w:pPr>
    </w:p>
    <w:p>
      <w:pPr>
        <w:tabs>
          <w:tab w:val="center" w:pos="4156"/>
          <w:tab w:val="left" w:pos="6405"/>
        </w:tabs>
        <w:adjustRightInd w:val="0"/>
        <w:snapToGrid w:val="0"/>
        <w:spacing w:line="360" w:lineRule="auto"/>
        <w:jc w:val="center"/>
        <w:rPr>
          <w:rFonts w:hint="eastAsia" w:ascii="宋体" w:hAnsi="宋体" w:cs="宋体"/>
          <w:sz w:val="72"/>
        </w:rPr>
      </w:pPr>
      <w:r>
        <w:rPr>
          <w:rFonts w:hint="eastAsia" w:ascii="宋体" w:hAnsi="宋体" w:cs="宋体"/>
          <w:sz w:val="72"/>
        </w:rPr>
        <w:t>招标文件</w:t>
      </w:r>
    </w:p>
    <w:p>
      <w:pPr>
        <w:pStyle w:val="14"/>
        <w:spacing w:line="360" w:lineRule="auto"/>
        <w:ind w:left="0" w:leftChars="0" w:firstLine="0" w:firstLineChars="0"/>
        <w:rPr>
          <w:rFonts w:hint="eastAsia" w:ascii="宋体" w:hAnsi="宋体" w:cs="宋体"/>
          <w:b/>
          <w:sz w:val="28"/>
        </w:rPr>
      </w:pPr>
    </w:p>
    <w:p>
      <w:pPr>
        <w:pStyle w:val="14"/>
        <w:spacing w:line="360" w:lineRule="auto"/>
        <w:ind w:left="0" w:leftChars="0" w:firstLine="0" w:firstLineChars="0"/>
        <w:rPr>
          <w:rFonts w:hint="eastAsia" w:ascii="宋体" w:hAnsi="宋体" w:cs="宋体"/>
          <w:b/>
          <w:sz w:val="28"/>
        </w:rPr>
      </w:pPr>
    </w:p>
    <w:p>
      <w:pPr>
        <w:pStyle w:val="14"/>
        <w:spacing w:line="360" w:lineRule="auto"/>
        <w:ind w:left="0" w:leftChars="0" w:firstLine="0" w:firstLineChars="0"/>
        <w:rPr>
          <w:rFonts w:hint="eastAsia" w:ascii="宋体" w:hAnsi="宋体" w:cs="宋体"/>
          <w:b/>
          <w:sz w:val="28"/>
        </w:rPr>
      </w:pPr>
    </w:p>
    <w:p>
      <w:pPr>
        <w:pStyle w:val="14"/>
        <w:spacing w:line="360" w:lineRule="auto"/>
        <w:ind w:left="0" w:leftChars="0" w:right="-282" w:rightChars="-128" w:firstLine="0" w:firstLineChars="0"/>
        <w:rPr>
          <w:rFonts w:hint="eastAsia" w:ascii="仿宋" w:hAnsi="仿宋" w:eastAsia="仿宋" w:cs="仿宋"/>
          <w:b w:val="0"/>
          <w:color w:val="000000" w:themeColor="text1"/>
          <w:sz w:val="28"/>
          <w:szCs w:val="28"/>
          <w:lang w:val="en-US" w:eastAsia="zh-CN" w:bidi="ar"/>
          <w14:textFill>
            <w14:solidFill>
              <w14:schemeClr w14:val="tx1"/>
            </w14:solidFill>
          </w14:textFill>
        </w:rPr>
      </w:pPr>
      <w:r>
        <w:rPr>
          <w:rFonts w:hint="eastAsia" w:ascii="宋体" w:hAnsi="宋体" w:cs="宋体"/>
          <w:b/>
          <w:sz w:val="28"/>
          <w:szCs w:val="28"/>
        </w:rPr>
        <w:t>项目名称：</w:t>
      </w:r>
      <w:r>
        <w:rPr>
          <w:rFonts w:hint="eastAsia" w:ascii="仿宋" w:hAnsi="仿宋" w:eastAsia="仿宋" w:cs="仿宋"/>
          <w:color w:val="000000" w:themeColor="text1"/>
          <w:spacing w:val="0"/>
          <w:kern w:val="0"/>
          <w:sz w:val="28"/>
          <w:szCs w:val="28"/>
          <w:lang w:val="en-US" w:eastAsia="zh-CN" w:bidi="ar"/>
          <w14:textFill>
            <w14:solidFill>
              <w14:schemeClr w14:val="tx1"/>
            </w14:solidFill>
          </w14:textFill>
        </w:rPr>
        <w:t>珠海市香洲区第二人民医院第三方招聘服务年度供应商采购项目</w:t>
      </w:r>
    </w:p>
    <w:p>
      <w:pPr>
        <w:pStyle w:val="14"/>
        <w:spacing w:line="360" w:lineRule="auto"/>
        <w:ind w:left="0" w:leftChars="0" w:firstLine="0" w:firstLineChars="0"/>
        <w:rPr>
          <w:rFonts w:hint="default" w:ascii="宋体" w:hAnsi="宋体" w:eastAsia="宋体" w:cs="宋体"/>
          <w:b/>
          <w:sz w:val="28"/>
          <w:szCs w:val="28"/>
          <w:lang w:val="en-US" w:eastAsia="zh-CN"/>
        </w:rPr>
      </w:pPr>
      <w:r>
        <w:rPr>
          <w:rFonts w:hint="eastAsia" w:ascii="宋体" w:hAnsi="宋体" w:cs="宋体"/>
          <w:b/>
          <w:sz w:val="28"/>
          <w:szCs w:val="28"/>
        </w:rPr>
        <w:t>项目编号：</w:t>
      </w:r>
      <w:r>
        <w:rPr>
          <w:rFonts w:hint="eastAsia" w:ascii="仿宋" w:hAnsi="仿宋" w:eastAsia="仿宋" w:cs="仿宋"/>
          <w:b w:val="0"/>
          <w:color w:val="000000" w:themeColor="text1"/>
          <w:sz w:val="28"/>
          <w:szCs w:val="28"/>
          <w:lang w:val="en-US" w:bidi="ar"/>
          <w14:textFill>
            <w14:solidFill>
              <w14:schemeClr w14:val="tx1"/>
            </w14:solidFill>
          </w14:textFill>
        </w:rPr>
        <w:t>HQCG202</w:t>
      </w:r>
      <w:r>
        <w:rPr>
          <w:rFonts w:hint="eastAsia" w:ascii="仿宋" w:hAnsi="仿宋" w:eastAsia="仿宋" w:cs="仿宋"/>
          <w:b w:val="0"/>
          <w:color w:val="000000" w:themeColor="text1"/>
          <w:sz w:val="28"/>
          <w:szCs w:val="28"/>
          <w:lang w:val="en-US" w:eastAsia="zh-CN" w:bidi="ar"/>
          <w14:textFill>
            <w14:solidFill>
              <w14:schemeClr w14:val="tx1"/>
            </w14:solidFill>
          </w14:textFill>
        </w:rPr>
        <w:t>5009</w:t>
      </w:r>
    </w:p>
    <w:p>
      <w:pPr>
        <w:pStyle w:val="14"/>
        <w:ind w:left="0" w:leftChars="0" w:firstLine="0" w:firstLineChars="0"/>
        <w:rPr>
          <w:rFonts w:hint="eastAsia" w:ascii="宋体" w:hAnsi="宋体" w:cs="宋体"/>
          <w:b/>
          <w:sz w:val="28"/>
        </w:rPr>
      </w:pPr>
    </w:p>
    <w:p>
      <w:pPr>
        <w:pStyle w:val="14"/>
        <w:ind w:left="0" w:leftChars="0" w:firstLine="0" w:firstLineChars="0"/>
        <w:rPr>
          <w:rFonts w:hint="eastAsia" w:ascii="宋体" w:hAnsi="宋体" w:cs="宋体"/>
          <w:b/>
          <w:sz w:val="28"/>
        </w:rPr>
      </w:pPr>
    </w:p>
    <w:p>
      <w:pPr>
        <w:pStyle w:val="14"/>
        <w:ind w:left="0" w:leftChars="0" w:firstLine="0" w:firstLineChars="0"/>
        <w:rPr>
          <w:rFonts w:hint="eastAsia" w:ascii="宋体" w:hAnsi="宋体" w:cs="宋体"/>
          <w:b/>
          <w:sz w:val="28"/>
        </w:rPr>
      </w:pPr>
    </w:p>
    <w:p>
      <w:pPr>
        <w:pStyle w:val="14"/>
        <w:ind w:left="0" w:leftChars="0" w:firstLine="0" w:firstLineChars="0"/>
        <w:rPr>
          <w:rFonts w:hint="eastAsia" w:ascii="宋体" w:hAnsi="宋体" w:cs="宋体"/>
          <w:b/>
          <w:sz w:val="28"/>
        </w:rPr>
      </w:pPr>
    </w:p>
    <w:p>
      <w:pPr>
        <w:tabs>
          <w:tab w:val="center" w:pos="4156"/>
          <w:tab w:val="left" w:pos="6405"/>
        </w:tabs>
        <w:adjustRightInd w:val="0"/>
        <w:snapToGrid w:val="0"/>
        <w:spacing w:line="360" w:lineRule="auto"/>
        <w:jc w:val="center"/>
        <w:rPr>
          <w:rFonts w:hint="eastAsia" w:ascii="黑体" w:hAnsi="黑体" w:eastAsia="黑体" w:cs="黑体"/>
          <w:sz w:val="28"/>
          <w:szCs w:val="10"/>
          <w:lang w:val="en-US" w:eastAsia="zh-CN"/>
        </w:rPr>
      </w:pPr>
      <w:r>
        <w:rPr>
          <w:rFonts w:hint="eastAsia" w:ascii="黑体" w:hAnsi="黑体" w:eastAsia="黑体" w:cs="黑体"/>
          <w:sz w:val="28"/>
          <w:szCs w:val="10"/>
          <w:lang w:val="en-US" w:eastAsia="zh-CN"/>
        </w:rPr>
        <w:t>采购人：珠海市香洲区第二人民医院</w:t>
      </w:r>
    </w:p>
    <w:p>
      <w:pPr>
        <w:tabs>
          <w:tab w:val="center" w:pos="4156"/>
          <w:tab w:val="left" w:pos="6405"/>
        </w:tabs>
        <w:adjustRightInd w:val="0"/>
        <w:snapToGrid w:val="0"/>
        <w:spacing w:line="360" w:lineRule="auto"/>
        <w:jc w:val="center"/>
        <w:rPr>
          <w:rFonts w:hint="eastAsia" w:ascii="黑体" w:hAnsi="黑体" w:eastAsia="黑体" w:cs="黑体"/>
          <w:sz w:val="28"/>
          <w:szCs w:val="10"/>
          <w:lang w:val="en-US" w:eastAsia="zh-CN"/>
        </w:rPr>
      </w:pPr>
      <w:r>
        <w:rPr>
          <w:rFonts w:hint="eastAsia" w:ascii="黑体" w:hAnsi="黑体" w:eastAsia="黑体" w:cs="黑体"/>
          <w:sz w:val="28"/>
          <w:szCs w:val="10"/>
          <w:lang w:val="en-US" w:eastAsia="zh-CN"/>
        </w:rPr>
        <w:t>2025年8月</w:t>
      </w:r>
    </w:p>
    <w:p>
      <w:pPr>
        <w:spacing w:line="360" w:lineRule="auto"/>
        <w:jc w:val="center"/>
        <w:rPr>
          <w:rFonts w:hint="eastAsia" w:ascii="宋体" w:hAnsi="宋体" w:cs="宋体"/>
          <w:b/>
          <w:sz w:val="28"/>
          <w:szCs w:val="28"/>
        </w:rPr>
      </w:pPr>
    </w:p>
    <w:p>
      <w:pPr>
        <w:pStyle w:val="9"/>
        <w:rPr>
          <w:rFonts w:hint="eastAsia"/>
        </w:rPr>
        <w:sectPr>
          <w:footerReference r:id="rId5" w:type="default"/>
          <w:pgSz w:w="11906" w:h="16838"/>
          <w:pgMar w:top="1434" w:right="1474" w:bottom="1434" w:left="1474" w:header="851" w:footer="992" w:gutter="0"/>
          <w:pgNumType w:fmt="decimal"/>
          <w:cols w:space="425" w:num="1"/>
          <w:docGrid w:type="lines" w:linePitch="312" w:charSpace="0"/>
        </w:sectPr>
      </w:pPr>
    </w:p>
    <w:p>
      <w:pPr>
        <w:tabs>
          <w:tab w:val="center" w:pos="4156"/>
          <w:tab w:val="left" w:pos="6405"/>
        </w:tabs>
        <w:adjustRightInd w:val="0"/>
        <w:snapToGrid w:val="0"/>
        <w:spacing w:line="480" w:lineRule="auto"/>
        <w:jc w:val="center"/>
        <w:rPr>
          <w:rFonts w:hint="eastAsia" w:ascii="宋体" w:hAnsi="宋体" w:cs="宋体"/>
          <w:sz w:val="52"/>
          <w:szCs w:val="20"/>
          <w:lang w:val="en-US" w:eastAsia="zh-CN"/>
        </w:rPr>
      </w:pPr>
    </w:p>
    <w:p>
      <w:pPr>
        <w:tabs>
          <w:tab w:val="center" w:pos="4156"/>
          <w:tab w:val="left" w:pos="6405"/>
        </w:tabs>
        <w:adjustRightInd w:val="0"/>
        <w:snapToGrid w:val="0"/>
        <w:spacing w:line="480" w:lineRule="auto"/>
        <w:jc w:val="center"/>
        <w:rPr>
          <w:rFonts w:hint="eastAsia" w:ascii="宋体" w:hAnsi="宋体" w:cs="宋体"/>
          <w:sz w:val="52"/>
          <w:szCs w:val="20"/>
          <w:lang w:val="en-US" w:eastAsia="zh-CN"/>
        </w:rPr>
      </w:pPr>
      <w:r>
        <w:rPr>
          <w:rFonts w:hint="eastAsia" w:ascii="宋体" w:hAnsi="宋体" w:cs="宋体"/>
          <w:sz w:val="52"/>
          <w:szCs w:val="20"/>
          <w:lang w:val="en-US" w:eastAsia="zh-CN"/>
        </w:rPr>
        <w:t>目   录</w:t>
      </w:r>
    </w:p>
    <w:p>
      <w:pPr>
        <w:tabs>
          <w:tab w:val="center" w:pos="4156"/>
          <w:tab w:val="left" w:pos="6405"/>
        </w:tabs>
        <w:adjustRightInd w:val="0"/>
        <w:snapToGrid w:val="0"/>
        <w:spacing w:line="480" w:lineRule="auto"/>
        <w:ind w:leftChars="400"/>
        <w:jc w:val="left"/>
        <w:rPr>
          <w:rFonts w:hint="eastAsia" w:ascii="宋体" w:hAnsi="宋体" w:cs="宋体"/>
          <w:sz w:val="32"/>
          <w:szCs w:val="32"/>
          <w:lang w:val="en-US" w:eastAsia="zh-CN"/>
        </w:rPr>
      </w:pPr>
      <w:r>
        <w:rPr>
          <w:rFonts w:hint="eastAsia" w:ascii="宋体" w:hAnsi="宋体" w:cs="宋体"/>
          <w:sz w:val="32"/>
          <w:szCs w:val="32"/>
          <w:lang w:val="en-US" w:eastAsia="zh-CN"/>
        </w:rPr>
        <w:t>第一部分  招标公告</w:t>
      </w:r>
    </w:p>
    <w:p>
      <w:pPr>
        <w:tabs>
          <w:tab w:val="center" w:pos="4156"/>
          <w:tab w:val="left" w:pos="6405"/>
        </w:tabs>
        <w:adjustRightInd w:val="0"/>
        <w:snapToGrid w:val="0"/>
        <w:spacing w:line="480" w:lineRule="auto"/>
        <w:ind w:leftChars="400"/>
        <w:jc w:val="left"/>
        <w:rPr>
          <w:rFonts w:hint="eastAsia" w:ascii="宋体" w:hAnsi="宋体" w:cs="宋体"/>
          <w:sz w:val="32"/>
          <w:szCs w:val="32"/>
          <w:lang w:val="en-US" w:eastAsia="zh-CN"/>
        </w:rPr>
      </w:pPr>
      <w:r>
        <w:rPr>
          <w:rFonts w:hint="eastAsia" w:ascii="宋体" w:hAnsi="宋体" w:cs="宋体"/>
          <w:sz w:val="32"/>
          <w:szCs w:val="32"/>
          <w:lang w:val="en-US" w:eastAsia="zh-CN"/>
        </w:rPr>
        <w:t xml:space="preserve">第二部分  </w:t>
      </w:r>
      <w:r>
        <w:rPr>
          <w:rFonts w:hint="eastAsia" w:cs="宋体"/>
          <w:sz w:val="32"/>
          <w:szCs w:val="32"/>
          <w:lang w:val="en-US" w:eastAsia="zh-CN"/>
        </w:rPr>
        <w:t>用户</w:t>
      </w:r>
      <w:r>
        <w:rPr>
          <w:rFonts w:hint="eastAsia" w:ascii="宋体" w:hAnsi="宋体" w:cs="宋体"/>
          <w:sz w:val="32"/>
          <w:szCs w:val="32"/>
          <w:lang w:val="en-US" w:eastAsia="zh-CN"/>
        </w:rPr>
        <w:t>需求书</w:t>
      </w:r>
    </w:p>
    <w:p>
      <w:pPr>
        <w:tabs>
          <w:tab w:val="center" w:pos="4156"/>
          <w:tab w:val="left" w:pos="6405"/>
        </w:tabs>
        <w:adjustRightInd w:val="0"/>
        <w:snapToGrid w:val="0"/>
        <w:spacing w:line="480" w:lineRule="auto"/>
        <w:ind w:leftChars="400"/>
        <w:jc w:val="left"/>
        <w:rPr>
          <w:rFonts w:hint="eastAsia" w:ascii="宋体" w:hAnsi="宋体" w:cs="宋体"/>
          <w:sz w:val="32"/>
          <w:szCs w:val="32"/>
          <w:lang w:val="en-US" w:eastAsia="zh-CN"/>
        </w:rPr>
      </w:pPr>
      <w:r>
        <w:rPr>
          <w:rFonts w:hint="eastAsia" w:ascii="宋体" w:hAnsi="宋体" w:cs="宋体"/>
          <w:sz w:val="32"/>
          <w:szCs w:val="32"/>
          <w:lang w:val="en-US" w:eastAsia="zh-CN"/>
        </w:rPr>
        <w:t>第三部分  投标人须知前附表</w:t>
      </w:r>
    </w:p>
    <w:p>
      <w:pPr>
        <w:tabs>
          <w:tab w:val="center" w:pos="4156"/>
          <w:tab w:val="left" w:pos="6405"/>
        </w:tabs>
        <w:adjustRightInd w:val="0"/>
        <w:snapToGrid w:val="0"/>
        <w:spacing w:line="480" w:lineRule="auto"/>
        <w:ind w:leftChars="400"/>
        <w:jc w:val="left"/>
        <w:rPr>
          <w:rFonts w:hint="eastAsia" w:ascii="宋体" w:hAnsi="宋体" w:cs="宋体"/>
          <w:sz w:val="32"/>
          <w:szCs w:val="32"/>
          <w:lang w:val="en-US" w:eastAsia="zh-CN"/>
        </w:rPr>
      </w:pPr>
      <w:r>
        <w:rPr>
          <w:rFonts w:hint="eastAsia" w:ascii="宋体" w:hAnsi="宋体" w:cs="宋体"/>
          <w:sz w:val="32"/>
          <w:szCs w:val="32"/>
          <w:lang w:val="en-US" w:eastAsia="zh-CN"/>
        </w:rPr>
        <w:t>第</w:t>
      </w:r>
      <w:r>
        <w:rPr>
          <w:rFonts w:hint="eastAsia" w:cs="宋体"/>
          <w:sz w:val="32"/>
          <w:szCs w:val="32"/>
          <w:lang w:val="en-US" w:eastAsia="zh-CN"/>
        </w:rPr>
        <w:t>四</w:t>
      </w:r>
      <w:r>
        <w:rPr>
          <w:rFonts w:hint="eastAsia" w:ascii="宋体" w:hAnsi="宋体" w:cs="宋体"/>
          <w:sz w:val="32"/>
          <w:szCs w:val="32"/>
          <w:lang w:val="en-US" w:eastAsia="zh-CN"/>
        </w:rPr>
        <w:t xml:space="preserve">部分 </w:t>
      </w:r>
      <w:r>
        <w:rPr>
          <w:rFonts w:hint="eastAsia" w:cs="宋体"/>
          <w:sz w:val="32"/>
          <w:szCs w:val="32"/>
          <w:lang w:val="en-US" w:eastAsia="zh-CN"/>
        </w:rPr>
        <w:t xml:space="preserve"> </w:t>
      </w:r>
      <w:r>
        <w:rPr>
          <w:rFonts w:hint="eastAsia" w:ascii="宋体" w:hAnsi="宋体" w:cs="宋体"/>
          <w:sz w:val="32"/>
          <w:szCs w:val="32"/>
          <w:lang w:val="en-US" w:eastAsia="zh-CN"/>
        </w:rPr>
        <w:t>评标方法与标准</w:t>
      </w:r>
    </w:p>
    <w:p>
      <w:pPr>
        <w:tabs>
          <w:tab w:val="center" w:pos="4156"/>
          <w:tab w:val="left" w:pos="6405"/>
        </w:tabs>
        <w:adjustRightInd w:val="0"/>
        <w:snapToGrid w:val="0"/>
        <w:spacing w:line="480" w:lineRule="auto"/>
        <w:ind w:leftChars="400"/>
        <w:jc w:val="left"/>
        <w:rPr>
          <w:rFonts w:hint="eastAsia" w:cs="宋体"/>
          <w:sz w:val="32"/>
          <w:szCs w:val="32"/>
          <w:lang w:val="en-US" w:eastAsia="zh-CN"/>
        </w:rPr>
      </w:pPr>
      <w:r>
        <w:rPr>
          <w:rFonts w:hint="eastAsia" w:ascii="宋体" w:hAnsi="宋体" w:cs="宋体"/>
          <w:sz w:val="32"/>
          <w:szCs w:val="32"/>
          <w:lang w:val="en-US" w:eastAsia="zh-CN"/>
        </w:rPr>
        <w:t>第</w:t>
      </w:r>
      <w:r>
        <w:rPr>
          <w:rFonts w:hint="eastAsia" w:cs="宋体"/>
          <w:sz w:val="32"/>
          <w:szCs w:val="32"/>
          <w:lang w:val="en-US" w:eastAsia="zh-CN"/>
        </w:rPr>
        <w:t>五</w:t>
      </w:r>
      <w:r>
        <w:rPr>
          <w:rFonts w:hint="eastAsia" w:ascii="宋体" w:hAnsi="宋体" w:cs="宋体"/>
          <w:sz w:val="32"/>
          <w:szCs w:val="32"/>
          <w:lang w:val="en-US" w:eastAsia="zh-CN"/>
        </w:rPr>
        <w:t>部分  投标文件格式</w:t>
      </w:r>
      <w:r>
        <w:rPr>
          <w:rFonts w:hint="eastAsia" w:cs="宋体"/>
          <w:sz w:val="32"/>
          <w:szCs w:val="32"/>
          <w:lang w:val="en-US" w:eastAsia="zh-CN"/>
        </w:rPr>
        <w:t>（参考）</w:t>
      </w:r>
    </w:p>
    <w:p>
      <w:pPr>
        <w:tabs>
          <w:tab w:val="center" w:pos="4156"/>
          <w:tab w:val="left" w:pos="6405"/>
        </w:tabs>
        <w:adjustRightInd w:val="0"/>
        <w:snapToGrid w:val="0"/>
        <w:spacing w:line="480" w:lineRule="auto"/>
        <w:ind w:leftChars="400"/>
        <w:jc w:val="left"/>
        <w:rPr>
          <w:rFonts w:hint="default" w:ascii="宋体" w:hAnsi="宋体" w:cs="宋体"/>
          <w:sz w:val="32"/>
          <w:szCs w:val="32"/>
          <w:lang w:val="en-US" w:eastAsia="zh-CN"/>
        </w:rPr>
      </w:pPr>
      <w:r>
        <w:rPr>
          <w:rFonts w:hint="eastAsia" w:cs="宋体"/>
          <w:sz w:val="32"/>
          <w:szCs w:val="32"/>
          <w:lang w:val="en-US" w:eastAsia="zh-CN"/>
        </w:rPr>
        <w:t>第六部分  投标人须知</w:t>
      </w:r>
    </w:p>
    <w:p>
      <w:pPr>
        <w:pStyle w:val="9"/>
        <w:rPr>
          <w:rFonts w:hint="eastAsia" w:ascii="宋体" w:hAnsi="宋体" w:cs="宋体"/>
          <w:sz w:val="32"/>
          <w:szCs w:val="32"/>
          <w:lang w:val="en-US" w:eastAsia="zh-CN"/>
        </w:rPr>
      </w:pPr>
    </w:p>
    <w:p>
      <w:pPr>
        <w:rPr>
          <w:rFonts w:hint="eastAsia"/>
          <w:lang w:val="en-US" w:eastAsia="zh-CN"/>
        </w:rPr>
        <w:sectPr>
          <w:pgSz w:w="11906" w:h="16838"/>
          <w:pgMar w:top="1434" w:right="1474" w:bottom="1984" w:left="1474" w:header="851" w:footer="992" w:gutter="0"/>
          <w:pgNumType w:fmt="decimal"/>
          <w:cols w:space="425" w:num="1"/>
          <w:docGrid w:type="lines" w:linePitch="312" w:charSpace="0"/>
        </w:sectPr>
      </w:pPr>
    </w:p>
    <w:p>
      <w:pPr>
        <w:spacing w:line="360" w:lineRule="auto"/>
        <w:jc w:val="center"/>
        <w:rPr>
          <w:rFonts w:hint="eastAsia" w:ascii="宋体" w:hAnsi="宋体" w:cs="宋体"/>
          <w:kern w:val="28"/>
          <w:sz w:val="32"/>
          <w:szCs w:val="32"/>
        </w:rPr>
      </w:pPr>
      <w:bookmarkStart w:id="0" w:name="_Toc28359001"/>
      <w:bookmarkStart w:id="1" w:name="_Toc35393789"/>
      <w:bookmarkStart w:id="2" w:name="_Toc22659"/>
      <w:r>
        <w:rPr>
          <w:rFonts w:hint="eastAsia" w:ascii="宋体" w:hAnsi="宋体" w:cs="宋体"/>
          <w:b/>
          <w:kern w:val="28"/>
          <w:sz w:val="32"/>
          <w:szCs w:val="32"/>
          <w:lang w:val="en-US" w:eastAsia="zh-CN"/>
        </w:rPr>
        <w:t xml:space="preserve">第一部分 </w:t>
      </w:r>
      <w:r>
        <w:rPr>
          <w:rFonts w:hint="eastAsia" w:ascii="宋体" w:hAnsi="宋体" w:cs="宋体"/>
          <w:b/>
          <w:kern w:val="28"/>
          <w:sz w:val="32"/>
          <w:szCs w:val="32"/>
        </w:rPr>
        <w:t>招标公告</w:t>
      </w:r>
      <w:bookmarkEnd w:id="0"/>
      <w:bookmarkEnd w:id="1"/>
      <w:bookmarkEnd w:id="2"/>
    </w:p>
    <w:p>
      <w:pPr>
        <w:pStyle w:val="14"/>
        <w:keepNext w:val="0"/>
        <w:keepLines w:val="0"/>
        <w:pageBreakBefore w:val="0"/>
        <w:widowControl w:val="0"/>
        <w:kinsoku/>
        <w:wordWrap/>
        <w:overflowPunct/>
        <w:topLinePunct w:val="0"/>
        <w:autoSpaceDE w:val="0"/>
        <w:autoSpaceDN w:val="0"/>
        <w:bidi w:val="0"/>
        <w:adjustRightInd/>
        <w:snapToGrid/>
        <w:spacing w:after="0" w:line="579" w:lineRule="exact"/>
        <w:ind w:left="0" w:leftChars="0" w:firstLine="0" w:firstLineChars="0"/>
        <w:jc w:val="center"/>
        <w:textAlignment w:val="auto"/>
        <w:rPr>
          <w:rFonts w:hint="eastAsia" w:ascii="仿宋_GB2312" w:hAnsi="仿宋_GB2312" w:eastAsia="仿宋_GB2312" w:cs="仿宋_GB2312"/>
          <w:i w:val="0"/>
          <w:caps w:val="0"/>
          <w:color w:val="auto"/>
          <w:spacing w:val="0"/>
          <w:sz w:val="24"/>
          <w:szCs w:val="24"/>
          <w:shd w:val="clear" w:fill="FFFFFF"/>
        </w:rPr>
      </w:pPr>
    </w:p>
    <w:p>
      <w:pPr>
        <w:ind w:firstLine="560" w:firstLineChars="200"/>
        <w:rPr>
          <w:rFonts w:hint="eastAsia" w:ascii="仿宋" w:hAnsi="仿宋" w:eastAsia="仿宋" w:cs="仿宋"/>
          <w:b w:val="0"/>
          <w:bCs w:val="0"/>
          <w:color w:val="000000" w:themeColor="text1"/>
          <w:spacing w:val="0"/>
          <w:kern w:val="0"/>
          <w:sz w:val="28"/>
          <w:szCs w:val="28"/>
          <w:lang w:val="en-US" w:eastAsia="zh-CN" w:bidi="ar"/>
          <w14:textFill>
            <w14:solidFill>
              <w14:schemeClr w14:val="tx1"/>
            </w14:solidFill>
          </w14:textFill>
        </w:rPr>
      </w:pPr>
      <w:r>
        <w:rPr>
          <w:rFonts w:hint="eastAsia" w:ascii="仿宋" w:hAnsi="仿宋" w:eastAsia="仿宋" w:cs="仿宋"/>
          <w:b w:val="0"/>
          <w:bCs w:val="0"/>
          <w:color w:val="000000" w:themeColor="text1"/>
          <w:spacing w:val="0"/>
          <w:kern w:val="0"/>
          <w:sz w:val="28"/>
          <w:szCs w:val="28"/>
          <w:lang w:val="en-US" w:eastAsia="zh-CN" w:bidi="ar"/>
          <w14:textFill>
            <w14:solidFill>
              <w14:schemeClr w14:val="tx1"/>
            </w14:solidFill>
          </w14:textFill>
        </w:rPr>
        <w:t>本项目采用院内招标方式组织珠海市香洲区第二人民医院第三方招聘服务年度供应商采购项目活动，欢迎符合资格条件的投标人参加。</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黑体" w:hAnsi="黑体" w:eastAsia="黑体" w:cs="黑体"/>
          <w:b w:val="0"/>
          <w:bCs w:val="0"/>
          <w:color w:val="000000" w:themeColor="text1"/>
          <w:spacing w:val="0"/>
          <w:kern w:val="0"/>
          <w:sz w:val="28"/>
          <w:szCs w:val="28"/>
          <w:lang w:val="en-US" w:eastAsia="zh-CN" w:bidi="ar"/>
          <w14:textFill>
            <w14:solidFill>
              <w14:schemeClr w14:val="tx1"/>
            </w14:solidFill>
          </w14:textFill>
        </w:rPr>
      </w:pPr>
      <w:r>
        <w:rPr>
          <w:rFonts w:hint="eastAsia" w:ascii="黑体" w:hAnsi="黑体" w:eastAsia="黑体" w:cs="黑体"/>
          <w:b w:val="0"/>
          <w:bCs w:val="0"/>
          <w:color w:val="000000" w:themeColor="text1"/>
          <w:spacing w:val="0"/>
          <w:kern w:val="0"/>
          <w:sz w:val="28"/>
          <w:szCs w:val="28"/>
          <w:lang w:val="en-US" w:eastAsia="zh-CN" w:bidi="ar"/>
          <w14:textFill>
            <w14:solidFill>
              <w14:schemeClr w14:val="tx1"/>
            </w14:solidFill>
          </w14:textFill>
        </w:rPr>
        <w:t>一、项目基本情况</w:t>
      </w:r>
    </w:p>
    <w:p>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right="-282" w:rightChars="-128"/>
        <w:jc w:val="both"/>
        <w:textAlignment w:val="auto"/>
        <w:rPr>
          <w:rFonts w:hint="eastAsia" w:ascii="仿宋" w:hAnsi="仿宋" w:eastAsia="仿宋" w:cs="仿宋"/>
          <w:color w:val="000000" w:themeColor="text1"/>
          <w:spacing w:val="0"/>
          <w:kern w:val="0"/>
          <w:sz w:val="28"/>
          <w:szCs w:val="28"/>
          <w:lang w:val="en-US" w:eastAsia="zh-CN" w:bidi="ar"/>
          <w14:textFill>
            <w14:solidFill>
              <w14:schemeClr w14:val="tx1"/>
            </w14:solidFill>
          </w14:textFill>
        </w:rPr>
      </w:pPr>
      <w:r>
        <w:rPr>
          <w:rFonts w:hint="eastAsia" w:ascii="仿宋" w:hAnsi="仿宋" w:eastAsia="仿宋" w:cs="仿宋"/>
          <w:color w:val="000000" w:themeColor="text1"/>
          <w:spacing w:val="0"/>
          <w:kern w:val="0"/>
          <w:sz w:val="28"/>
          <w:szCs w:val="28"/>
          <w:lang w:val="en-US" w:eastAsia="zh-CN" w:bidi="ar"/>
          <w14:textFill>
            <w14:solidFill>
              <w14:schemeClr w14:val="tx1"/>
            </w14:solidFill>
          </w14:textFill>
        </w:rPr>
        <w:t>项目名称：珠海市香洲区第二人民医院第三方招聘服务年度供应商采购项目</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default" w:ascii="仿宋" w:hAnsi="仿宋" w:eastAsia="仿宋" w:cs="仿宋"/>
          <w:color w:val="000000" w:themeColor="text1"/>
          <w:spacing w:val="0"/>
          <w:kern w:val="0"/>
          <w:sz w:val="28"/>
          <w:szCs w:val="28"/>
          <w:lang w:val="en-US" w:eastAsia="zh-CN" w:bidi="ar"/>
          <w14:textFill>
            <w14:solidFill>
              <w14:schemeClr w14:val="tx1"/>
            </w14:solidFill>
          </w14:textFill>
        </w:rPr>
      </w:pPr>
      <w:r>
        <w:rPr>
          <w:rFonts w:hint="eastAsia" w:ascii="仿宋" w:hAnsi="仿宋" w:eastAsia="仿宋" w:cs="仿宋"/>
          <w:color w:val="000000" w:themeColor="text1"/>
          <w:spacing w:val="0"/>
          <w:kern w:val="0"/>
          <w:sz w:val="28"/>
          <w:szCs w:val="28"/>
          <w:lang w:val="en-US" w:eastAsia="zh-CN" w:bidi="ar"/>
          <w14:textFill>
            <w14:solidFill>
              <w14:schemeClr w14:val="tx1"/>
            </w14:solidFill>
          </w14:textFill>
        </w:rPr>
        <w:t>项目编号：HQCG2025009</w:t>
      </w:r>
    </w:p>
    <w:p>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right="0" w:rightChars="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招标方式：院内招标</w:t>
      </w:r>
    </w:p>
    <w:tbl>
      <w:tblPr>
        <w:tblStyle w:val="16"/>
        <w:tblW w:w="8826" w:type="dxa"/>
        <w:tblInd w:w="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6"/>
        <w:gridCol w:w="1890"/>
        <w:gridCol w:w="1155"/>
        <w:gridCol w:w="1665"/>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blHeader/>
        </w:trPr>
        <w:tc>
          <w:tcPr>
            <w:tcW w:w="24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18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服务期限</w:t>
            </w:r>
          </w:p>
        </w:tc>
        <w:tc>
          <w:tcPr>
            <w:tcW w:w="11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数量</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（单位）</w:t>
            </w:r>
          </w:p>
        </w:tc>
        <w:tc>
          <w:tcPr>
            <w:tcW w:w="16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24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宋体" w:hAnsi="宋体" w:eastAsia="宋体" w:cs="宋体"/>
                <w:sz w:val="24"/>
                <w:szCs w:val="24"/>
                <w:lang w:val="en-US"/>
              </w:rPr>
            </w:pPr>
            <w:r>
              <w:rPr>
                <w:rFonts w:hint="eastAsia" w:ascii="仿宋" w:hAnsi="仿宋" w:eastAsia="仿宋" w:cs="仿宋"/>
                <w:color w:val="000000" w:themeColor="text1"/>
                <w:spacing w:val="0"/>
                <w:kern w:val="0"/>
                <w:sz w:val="24"/>
                <w:szCs w:val="24"/>
                <w:lang w:val="en-US" w:eastAsia="zh-CN" w:bidi="ar"/>
                <w14:textFill>
                  <w14:solidFill>
                    <w14:schemeClr w14:val="tx1"/>
                  </w14:solidFill>
                </w14:textFill>
              </w:rPr>
              <w:t>第三方招聘服务</w:t>
            </w:r>
          </w:p>
        </w:tc>
        <w:tc>
          <w:tcPr>
            <w:tcW w:w="18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color w:val="000000" w:themeColor="text1"/>
                <w:spacing w:val="0"/>
                <w:kern w:val="0"/>
                <w:sz w:val="24"/>
                <w:szCs w:val="24"/>
                <w:lang w:val="en-US" w:eastAsia="zh-CN" w:bidi="ar"/>
                <w14:textFill>
                  <w14:solidFill>
                    <w14:schemeClr w14:val="tx1"/>
                  </w14:solidFill>
                </w14:textFill>
              </w:rPr>
            </w:pPr>
            <w:r>
              <w:rPr>
                <w:rFonts w:hint="eastAsia" w:ascii="仿宋" w:hAnsi="仿宋" w:eastAsia="仿宋" w:cs="仿宋"/>
                <w:color w:val="000000" w:themeColor="text1"/>
                <w:spacing w:val="0"/>
                <w:kern w:val="0"/>
                <w:sz w:val="24"/>
                <w:szCs w:val="24"/>
                <w:lang w:val="en-US" w:eastAsia="zh-CN" w:bidi="ar"/>
                <w14:textFill>
                  <w14:solidFill>
                    <w14:schemeClr w14:val="tx1"/>
                  </w14:solidFill>
                </w14:textFill>
              </w:rPr>
              <w:t>2年（自合同签订之日起）</w:t>
            </w:r>
          </w:p>
        </w:tc>
        <w:tc>
          <w:tcPr>
            <w:tcW w:w="11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仿宋" w:hAnsi="仿宋" w:eastAsia="仿宋" w:cs="仿宋"/>
                <w:color w:val="000000" w:themeColor="text1"/>
                <w:spacing w:val="0"/>
                <w:kern w:val="0"/>
                <w:sz w:val="24"/>
                <w:szCs w:val="24"/>
                <w:lang w:val="en-US" w:eastAsia="zh-CN" w:bidi="ar"/>
                <w14:textFill>
                  <w14:solidFill>
                    <w14:schemeClr w14:val="tx1"/>
                  </w14:solidFill>
                </w14:textFill>
              </w:rPr>
            </w:pPr>
            <w:r>
              <w:rPr>
                <w:rFonts w:hint="eastAsia" w:ascii="仿宋" w:hAnsi="仿宋" w:eastAsia="仿宋" w:cs="仿宋"/>
                <w:color w:val="000000" w:themeColor="text1"/>
                <w:spacing w:val="0"/>
                <w:kern w:val="0"/>
                <w:sz w:val="24"/>
                <w:szCs w:val="24"/>
                <w:lang w:val="en-US" w:eastAsia="zh-CN" w:bidi="ar"/>
                <w14:textFill>
                  <w14:solidFill>
                    <w14:schemeClr w14:val="tx1"/>
                  </w14:solidFill>
                </w14:textFill>
              </w:rPr>
              <w:t>1项</w:t>
            </w:r>
          </w:p>
        </w:tc>
        <w:tc>
          <w:tcPr>
            <w:tcW w:w="16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仿宋" w:hAnsi="仿宋" w:eastAsia="仿宋" w:cs="仿宋"/>
                <w:color w:val="000000" w:themeColor="text1"/>
                <w:spacing w:val="0"/>
                <w:kern w:val="0"/>
                <w:sz w:val="24"/>
                <w:szCs w:val="24"/>
                <w:lang w:val="en-US" w:eastAsia="zh-CN" w:bidi="ar"/>
                <w14:textFill>
                  <w14:solidFill>
                    <w14:schemeClr w14:val="tx1"/>
                  </w14:solidFill>
                </w14:textFill>
              </w:rPr>
            </w:pPr>
            <w:r>
              <w:rPr>
                <w:rFonts w:hint="eastAsia" w:ascii="仿宋" w:hAnsi="仿宋" w:eastAsia="仿宋" w:cs="仿宋"/>
                <w:color w:val="000000" w:themeColor="text1"/>
                <w:spacing w:val="0"/>
                <w:kern w:val="0"/>
                <w:sz w:val="24"/>
                <w:szCs w:val="24"/>
                <w:lang w:val="en-US" w:eastAsia="zh-CN" w:bidi="ar"/>
                <w14:textFill>
                  <w14:solidFill>
                    <w14:schemeClr w14:val="tx1"/>
                  </w14:solidFill>
                </w14:textFill>
              </w:rPr>
              <w:t>详见《用户需求书》</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仿宋" w:hAnsi="仿宋" w:eastAsia="仿宋" w:cs="仿宋"/>
                <w:color w:val="000000" w:themeColor="text1"/>
                <w:spacing w:val="0"/>
                <w:kern w:val="0"/>
                <w:sz w:val="24"/>
                <w:szCs w:val="24"/>
                <w:lang w:val="en-US" w:eastAsia="zh-CN" w:bidi="ar"/>
                <w14:textFill>
                  <w14:solidFill>
                    <w14:schemeClr w14:val="tx1"/>
                  </w14:solidFill>
                </w14:textFill>
              </w:rPr>
            </w:pPr>
            <w:r>
              <w:rPr>
                <w:rFonts w:hint="eastAsia" w:ascii="仿宋" w:hAnsi="仿宋" w:eastAsia="仿宋" w:cs="仿宋"/>
                <w:color w:val="000000" w:themeColor="text1"/>
                <w:spacing w:val="0"/>
                <w:kern w:val="0"/>
                <w:sz w:val="24"/>
                <w:szCs w:val="24"/>
                <w:lang w:val="en-US" w:eastAsia="zh-CN" w:bidi="ar"/>
                <w14:textFill>
                  <w14:solidFill>
                    <w14:schemeClr w14:val="tx1"/>
                  </w14:solidFill>
                </w14:textFill>
              </w:rPr>
              <w:t>39077.50</w:t>
            </w:r>
          </w:p>
        </w:tc>
      </w:tr>
    </w:tbl>
    <w:p>
      <w:pPr>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left"/>
        <w:textAlignment w:val="auto"/>
        <w:rPr>
          <w:rFonts w:hint="eastAsia" w:ascii="仿宋" w:hAnsi="仿宋" w:eastAsia="仿宋" w:cs="仿宋"/>
          <w:color w:val="000000" w:themeColor="text1"/>
          <w:spacing w:val="0"/>
          <w:kern w:val="0"/>
          <w:sz w:val="28"/>
          <w:szCs w:val="28"/>
          <w:lang w:val="en-US" w:eastAsia="zh-CN" w:bidi="ar"/>
          <w14:textFill>
            <w14:solidFill>
              <w14:schemeClr w14:val="tx1"/>
            </w14:solidFill>
          </w14:textFill>
        </w:rPr>
      </w:pPr>
      <w:r>
        <w:rPr>
          <w:rFonts w:hint="eastAsia" w:ascii="仿宋" w:hAnsi="仿宋" w:eastAsia="仿宋" w:cs="仿宋"/>
          <w:color w:val="000000" w:themeColor="text1"/>
          <w:spacing w:val="0"/>
          <w:kern w:val="0"/>
          <w:sz w:val="28"/>
          <w:szCs w:val="28"/>
          <w:lang w:val="en-US" w:eastAsia="zh-CN" w:bidi="ar"/>
          <w14:textFill>
            <w14:solidFill>
              <w14:schemeClr w14:val="tx1"/>
            </w14:solidFill>
          </w14:textFill>
        </w:rPr>
        <w:t>注明：</w:t>
      </w:r>
    </w:p>
    <w:p>
      <w:pPr>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left"/>
        <w:textAlignment w:val="auto"/>
        <w:rPr>
          <w:rFonts w:hint="eastAsia" w:ascii="仿宋" w:hAnsi="仿宋" w:eastAsia="仿宋" w:cs="仿宋"/>
          <w:color w:val="000000" w:themeColor="text1"/>
          <w:spacing w:val="0"/>
          <w:kern w:val="0"/>
          <w:sz w:val="28"/>
          <w:szCs w:val="28"/>
          <w:lang w:val="en-US" w:eastAsia="zh-CN" w:bidi="ar"/>
          <w14:textFill>
            <w14:solidFill>
              <w14:schemeClr w14:val="tx1"/>
            </w14:solidFill>
          </w14:textFill>
        </w:rPr>
      </w:pPr>
      <w:r>
        <w:rPr>
          <w:rFonts w:hint="eastAsia" w:ascii="仿宋" w:hAnsi="仿宋" w:eastAsia="仿宋" w:cs="仿宋"/>
          <w:color w:val="000000" w:themeColor="text1"/>
          <w:spacing w:val="0"/>
          <w:kern w:val="0"/>
          <w:sz w:val="28"/>
          <w:szCs w:val="28"/>
          <w:lang w:val="en-US" w:eastAsia="zh-CN" w:bidi="ar"/>
          <w14:textFill>
            <w14:solidFill>
              <w14:schemeClr w14:val="tx1"/>
            </w14:solidFill>
          </w14:textFill>
        </w:rPr>
        <w:t>1.本项目报价采用总价报价的方式，投标人的投标总价不能高于最高限价，否则其报价将被认定为无效报价。</w:t>
      </w:r>
    </w:p>
    <w:p>
      <w:pPr>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pacing w:val="0"/>
          <w:kern w:val="0"/>
          <w:sz w:val="28"/>
          <w:szCs w:val="28"/>
          <w:lang w:val="en-US" w:eastAsia="zh-CN" w:bidi="ar"/>
          <w14:textFill>
            <w14:solidFill>
              <w14:schemeClr w14:val="tx1"/>
            </w14:solidFill>
          </w14:textFill>
        </w:rPr>
        <w:t>2.</w:t>
      </w:r>
      <w:r>
        <w:rPr>
          <w:rFonts w:hint="eastAsia" w:ascii="仿宋" w:hAnsi="仿宋" w:eastAsia="仿宋" w:cs="仿宋"/>
          <w:i w:val="0"/>
          <w:iCs w:val="0"/>
          <w:caps w:val="0"/>
          <w:spacing w:val="0"/>
          <w:kern w:val="2"/>
          <w:sz w:val="28"/>
          <w:szCs w:val="28"/>
          <w:shd w:val="clear"/>
          <w:vertAlign w:val="baseline"/>
          <w:lang w:val="en-US" w:eastAsia="zh-CN" w:bidi="ar"/>
        </w:rPr>
        <w:t>本项目不接受联合体投标，</w:t>
      </w:r>
      <w:r>
        <w:rPr>
          <w:rFonts w:hint="eastAsia" w:ascii="仿宋" w:hAnsi="仿宋" w:eastAsia="仿宋" w:cs="仿宋"/>
          <w:sz w:val="28"/>
          <w:szCs w:val="28"/>
        </w:rPr>
        <w:t>不允许分包</w:t>
      </w:r>
      <w:r>
        <w:rPr>
          <w:rFonts w:hint="eastAsia" w:ascii="仿宋" w:hAnsi="仿宋" w:eastAsia="仿宋" w:cs="仿宋"/>
          <w:sz w:val="28"/>
          <w:szCs w:val="28"/>
          <w:lang w:eastAsia="zh-CN"/>
        </w:rPr>
        <w:t>、</w:t>
      </w:r>
      <w:r>
        <w:rPr>
          <w:rFonts w:hint="eastAsia" w:ascii="仿宋" w:hAnsi="仿宋" w:eastAsia="仿宋" w:cs="仿宋"/>
          <w:sz w:val="28"/>
          <w:szCs w:val="28"/>
        </w:rPr>
        <w:t>转包</w:t>
      </w:r>
      <w:r>
        <w:rPr>
          <w:rFonts w:hint="eastAsia" w:ascii="仿宋" w:hAnsi="仿宋" w:eastAsia="仿宋" w:cs="仿宋"/>
          <w:i w:val="0"/>
          <w:iCs w:val="0"/>
          <w:caps w:val="0"/>
          <w:spacing w:val="0"/>
          <w:kern w:val="2"/>
          <w:sz w:val="28"/>
          <w:szCs w:val="28"/>
          <w:shd w:val="clear"/>
          <w:vertAlign w:val="baseline"/>
          <w:lang w:val="en-US" w:eastAsia="zh-CN" w:bidi="ar"/>
        </w:rPr>
        <w:t>。</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3.服务地点：珠海市香洲区第二人民医院</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00" w:lineRule="exact"/>
        <w:ind w:right="0" w:rightChars="0"/>
        <w:jc w:val="both"/>
        <w:textAlignment w:val="auto"/>
        <w:rPr>
          <w:rFonts w:hint="eastAsia" w:ascii="黑体" w:hAnsi="黑体" w:eastAsia="黑体" w:cs="黑体"/>
          <w:b w:val="0"/>
          <w:bCs w:val="0"/>
          <w:color w:val="000000" w:themeColor="text1"/>
          <w:spacing w:val="0"/>
          <w:kern w:val="0"/>
          <w:sz w:val="28"/>
          <w:szCs w:val="28"/>
          <w:lang w:val="en-US" w:eastAsia="zh-CN" w:bidi="ar"/>
          <w14:textFill>
            <w14:solidFill>
              <w14:schemeClr w14:val="tx1"/>
            </w14:solidFill>
          </w14:textFill>
        </w:rPr>
      </w:pPr>
      <w:r>
        <w:rPr>
          <w:rFonts w:hint="eastAsia" w:ascii="黑体" w:hAnsi="黑体" w:eastAsia="黑体" w:cs="黑体"/>
          <w:b w:val="0"/>
          <w:bCs w:val="0"/>
          <w:color w:val="000000" w:themeColor="text1"/>
          <w:spacing w:val="0"/>
          <w:kern w:val="0"/>
          <w:sz w:val="28"/>
          <w:szCs w:val="28"/>
          <w:lang w:val="en-US" w:eastAsia="zh-CN" w:bidi="ar"/>
          <w14:textFill>
            <w14:solidFill>
              <w14:schemeClr w14:val="tx1"/>
            </w14:solidFill>
          </w14:textFill>
        </w:rPr>
        <w:t>二、申请人的资格要求</w:t>
      </w:r>
    </w:p>
    <w:p>
      <w:pPr>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符合《中华人民共和国政府采购法》第二十二条规定的条件。</w:t>
      </w:r>
    </w:p>
    <w:p>
      <w:pPr>
        <w:keepNext w:val="0"/>
        <w:keepLines w:val="0"/>
        <w:pageBreakBefore w:val="0"/>
        <w:widowControl w:val="0"/>
        <w:kinsoku/>
        <w:wordWrap/>
        <w:overflowPunct/>
        <w:topLinePunct w:val="0"/>
        <w:bidi w:val="0"/>
        <w:adjustRightInd/>
        <w:snapToGrid/>
        <w:spacing w:after="0" w:line="500" w:lineRule="exact"/>
        <w:ind w:firstLine="280" w:firstLineChars="100"/>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1）具有独立承担民事责任的能力：在中华人民共和国境内注册的法人或其他组织或自然人，投标（响应）时提交有效的营业执照（或事业法人登记证或身份证等相关证明）复印件。分支机构投标的，须提供总公司和分公司营业执照复印件，总公司出具给分支机构的授权书。</w:t>
      </w:r>
    </w:p>
    <w:p>
      <w:pPr>
        <w:keepNext w:val="0"/>
        <w:keepLines w:val="0"/>
        <w:pageBreakBefore w:val="0"/>
        <w:widowControl w:val="0"/>
        <w:kinsoku/>
        <w:wordWrap/>
        <w:overflowPunct/>
        <w:topLinePunct w:val="0"/>
        <w:bidi w:val="0"/>
        <w:adjustRightInd/>
        <w:snapToGrid/>
        <w:spacing w:after="0" w:line="500" w:lineRule="exact"/>
        <w:ind w:firstLine="280" w:firstLineChars="100"/>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（2）有依法缴纳税收和社会保障资金的良好记录：提供《投标人资格声明函》（格式可参照招标公告附件）。</w:t>
      </w:r>
    </w:p>
    <w:p>
      <w:pPr>
        <w:keepNext w:val="0"/>
        <w:keepLines w:val="0"/>
        <w:pageBreakBefore w:val="0"/>
        <w:widowControl w:val="0"/>
        <w:kinsoku/>
        <w:wordWrap/>
        <w:overflowPunct/>
        <w:topLinePunct w:val="0"/>
        <w:bidi w:val="0"/>
        <w:adjustRightInd/>
        <w:snapToGrid/>
        <w:spacing w:after="0" w:line="500" w:lineRule="exact"/>
        <w:ind w:firstLine="280" w:firstLineChars="100"/>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（3）具有良好的商业信誉和健全的财务会计制度：提供《投标人资格声明函》（格式可参照招标公告附件）。</w:t>
      </w:r>
    </w:p>
    <w:p>
      <w:pPr>
        <w:keepNext w:val="0"/>
        <w:keepLines w:val="0"/>
        <w:pageBreakBefore w:val="0"/>
        <w:widowControl w:val="0"/>
        <w:kinsoku/>
        <w:wordWrap/>
        <w:overflowPunct/>
        <w:topLinePunct w:val="0"/>
        <w:bidi w:val="0"/>
        <w:adjustRightInd/>
        <w:snapToGrid/>
        <w:spacing w:after="0" w:line="500" w:lineRule="exact"/>
        <w:ind w:firstLine="280" w:firstLineChars="100"/>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（4）履行合同所必需的设备和专业技术能力：提供《投标人资格声明函》（格式可参照招标公告附件）。</w:t>
      </w:r>
    </w:p>
    <w:p>
      <w:pPr>
        <w:keepNext w:val="0"/>
        <w:keepLines w:val="0"/>
        <w:pageBreakBefore w:val="0"/>
        <w:widowControl w:val="0"/>
        <w:kinsoku/>
        <w:wordWrap/>
        <w:overflowPunct/>
        <w:topLinePunct w:val="0"/>
        <w:bidi w:val="0"/>
        <w:adjustRightInd/>
        <w:snapToGrid/>
        <w:spacing w:after="0" w:line="500" w:lineRule="exact"/>
        <w:ind w:firstLine="280" w:firstLineChars="100"/>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（5）参加招标活动前3年内，在经营活动中没有重大违法记录：提供《投标人资格声明函》（格式可参照招标公告附件）。</w:t>
      </w:r>
    </w:p>
    <w:p>
      <w:pPr>
        <w:keepNext w:val="0"/>
        <w:keepLines w:val="0"/>
        <w:pageBreakBefore w:val="0"/>
        <w:widowControl w:val="0"/>
        <w:kinsoku/>
        <w:wordWrap/>
        <w:overflowPunct/>
        <w:topLinePunct w:val="0"/>
        <w:autoSpaceDE w:val="0"/>
        <w:autoSpaceDN w:val="0"/>
        <w:bidi w:val="0"/>
        <w:adjustRightInd/>
        <w:snapToGrid/>
        <w:spacing w:before="157" w:beforeLines="50" w:after="0" w:line="500" w:lineRule="exact"/>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2.落实政府采购政策需满足的资格要求：</w:t>
      </w:r>
    </w:p>
    <w:p>
      <w:pPr>
        <w:keepNext w:val="0"/>
        <w:keepLines w:val="0"/>
        <w:pageBreakBefore w:val="0"/>
        <w:widowControl w:val="0"/>
        <w:kinsoku/>
        <w:wordWrap/>
        <w:overflowPunct/>
        <w:topLinePunct w:val="0"/>
        <w:bidi w:val="0"/>
        <w:adjustRightInd/>
        <w:snapToGrid/>
        <w:spacing w:after="0" w:line="500" w:lineRule="exact"/>
        <w:ind w:firstLine="280" w:firstLineChars="100"/>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本项目专门面向中小企业，供应商应为中小微企业、监狱企业、残疾人福利性单位。（提供《中小企业声明函》或属于监狱企业的证明材料或《残疾人福利性单位声明函》，否则不予认定）</w:t>
      </w:r>
    </w:p>
    <w:p>
      <w:pPr>
        <w:keepNext w:val="0"/>
        <w:keepLines w:val="0"/>
        <w:pageBreakBefore w:val="0"/>
        <w:widowControl w:val="0"/>
        <w:kinsoku/>
        <w:wordWrap/>
        <w:overflowPunct/>
        <w:topLinePunct w:val="0"/>
        <w:autoSpaceDE w:val="0"/>
        <w:autoSpaceDN w:val="0"/>
        <w:bidi w:val="0"/>
        <w:adjustRightInd/>
        <w:snapToGrid/>
        <w:spacing w:before="157" w:beforeLines="50" w:after="0" w:line="500" w:lineRule="exact"/>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3.本项目的特定资格要求：</w:t>
      </w:r>
    </w:p>
    <w:p>
      <w:pPr>
        <w:keepNext w:val="0"/>
        <w:keepLines w:val="0"/>
        <w:pageBreakBefore w:val="0"/>
        <w:widowControl w:val="0"/>
        <w:kinsoku/>
        <w:wordWrap/>
        <w:overflowPunct/>
        <w:topLinePunct w:val="0"/>
        <w:bidi w:val="0"/>
        <w:adjustRightInd/>
        <w:snapToGrid/>
        <w:spacing w:after="0" w:line="500" w:lineRule="exact"/>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（1）供应商未列入“信用中国”网站</w:t>
      </w:r>
      <w:r>
        <w:rPr>
          <w:rFonts w:hint="default" w:ascii="Times New Roman" w:hAnsi="Times New Roman" w:eastAsia="仿宋" w:cs="Times New Roman"/>
          <w:i w:val="0"/>
          <w:iCs w:val="0"/>
          <w:caps w:val="0"/>
          <w:spacing w:val="0"/>
          <w:sz w:val="28"/>
          <w:szCs w:val="28"/>
          <w:shd w:val="clear"/>
          <w:lang w:val="en-US" w:eastAsia="zh-CN"/>
        </w:rPr>
        <w:t>(www.creditchina.gov.cn)</w:t>
      </w:r>
      <w:r>
        <w:rPr>
          <w:rFonts w:hint="eastAsia" w:ascii="仿宋" w:hAnsi="仿宋" w:eastAsia="仿宋" w:cs="仿宋"/>
          <w:i w:val="0"/>
          <w:iCs w:val="0"/>
          <w:caps w:val="0"/>
          <w:spacing w:val="0"/>
          <w:sz w:val="28"/>
          <w:szCs w:val="28"/>
          <w:shd w:val="clear"/>
          <w:lang w:val="en-US" w:eastAsia="zh-CN"/>
        </w:rPr>
        <w:t>“记录失信被执行人或重大税收违法案件当事人名单或政府采购严重违法失信行为”的记录名单；不处于中国政府采购网</w:t>
      </w:r>
      <w:r>
        <w:rPr>
          <w:rFonts w:hint="default" w:ascii="Times New Roman" w:hAnsi="Times New Roman" w:eastAsia="仿宋" w:cs="Times New Roman"/>
          <w:i w:val="0"/>
          <w:iCs w:val="0"/>
          <w:caps w:val="0"/>
          <w:spacing w:val="0"/>
          <w:sz w:val="28"/>
          <w:szCs w:val="28"/>
          <w:shd w:val="clear"/>
          <w:lang w:val="en-US" w:eastAsia="zh-CN"/>
        </w:rPr>
        <w:t>(www.ccgp.gov.cn)</w:t>
      </w:r>
      <w:r>
        <w:rPr>
          <w:rFonts w:hint="eastAsia" w:ascii="仿宋" w:hAnsi="仿宋" w:eastAsia="仿宋" w:cs="仿宋"/>
          <w:i w:val="0"/>
          <w:iCs w:val="0"/>
          <w:caps w:val="0"/>
          <w:spacing w:val="0"/>
          <w:sz w:val="28"/>
          <w:szCs w:val="28"/>
          <w:shd w:val="clear"/>
          <w:lang w:val="en-US" w:eastAsia="zh-CN"/>
        </w:rPr>
        <w:t>“政府采购严重违法失信行为信息记录”中的禁止参加政府采购活动期间。（以资格审查人员于投标截止时间当天在“信用中国”网站</w:t>
      </w:r>
      <w:r>
        <w:rPr>
          <w:rFonts w:hint="default" w:ascii="Times New Roman" w:hAnsi="Times New Roman" w:eastAsia="仿宋" w:cs="Times New Roman"/>
          <w:i w:val="0"/>
          <w:iCs w:val="0"/>
          <w:caps w:val="0"/>
          <w:spacing w:val="0"/>
          <w:sz w:val="28"/>
          <w:szCs w:val="28"/>
          <w:shd w:val="clear"/>
          <w:lang w:val="en-US" w:eastAsia="zh-CN"/>
        </w:rPr>
        <w:t>（www.creditchina.gov.cn）</w:t>
      </w:r>
      <w:r>
        <w:rPr>
          <w:rFonts w:hint="eastAsia" w:ascii="仿宋" w:hAnsi="仿宋" w:eastAsia="仿宋" w:cs="仿宋"/>
          <w:i w:val="0"/>
          <w:iCs w:val="0"/>
          <w:caps w:val="0"/>
          <w:spacing w:val="0"/>
          <w:sz w:val="28"/>
          <w:szCs w:val="28"/>
          <w:shd w:val="clear"/>
          <w:lang w:val="en-US" w:eastAsia="zh-CN"/>
        </w:rPr>
        <w:t>及中国政府采购网</w:t>
      </w:r>
      <w:r>
        <w:rPr>
          <w:rFonts w:hint="default" w:ascii="Times New Roman" w:hAnsi="Times New Roman" w:eastAsia="仿宋" w:cs="Times New Roman"/>
          <w:i w:val="0"/>
          <w:iCs w:val="0"/>
          <w:caps w:val="0"/>
          <w:spacing w:val="0"/>
          <w:sz w:val="28"/>
          <w:szCs w:val="28"/>
          <w:shd w:val="clear"/>
          <w:lang w:val="en-US" w:eastAsia="zh-CN"/>
        </w:rPr>
        <w:t>（http://www.ccgp.gov.cn/）</w:t>
      </w:r>
      <w:r>
        <w:rPr>
          <w:rFonts w:hint="eastAsia" w:ascii="仿宋" w:hAnsi="仿宋" w:eastAsia="仿宋" w:cs="仿宋"/>
          <w:i w:val="0"/>
          <w:iCs w:val="0"/>
          <w:caps w:val="0"/>
          <w:spacing w:val="0"/>
          <w:sz w:val="28"/>
          <w:szCs w:val="28"/>
          <w:shd w:val="clear"/>
          <w:lang w:val="en-US" w:eastAsia="zh-CN"/>
        </w:rPr>
        <w:t>查询结果为准，如相关失信记录已失效，供应商需提供相关证明资料）。</w:t>
      </w:r>
    </w:p>
    <w:p>
      <w:pPr>
        <w:keepNext w:val="0"/>
        <w:keepLines w:val="0"/>
        <w:pageBreakBefore w:val="0"/>
        <w:widowControl w:val="0"/>
        <w:kinsoku/>
        <w:wordWrap/>
        <w:overflowPunct/>
        <w:topLinePunct w:val="0"/>
        <w:bidi w:val="0"/>
        <w:adjustRightInd/>
        <w:snapToGrid/>
        <w:spacing w:after="0" w:line="500" w:lineRule="exact"/>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2）单位负责人为同一人或者存在直接控股、管理关系的不同供应商，不得同时参加本招标项目投标（响应）。为本项目提供整体设计、规范编制或者项目管理、监理、检测等服务的供应商，不得再参与本项目投标（响应）。提供《投标人资格声明函》（格式可参照招标公告附件）。</w:t>
      </w:r>
    </w:p>
    <w:p>
      <w:pPr>
        <w:keepNext w:val="0"/>
        <w:keepLines w:val="0"/>
        <w:pageBreakBefore w:val="0"/>
        <w:widowControl w:val="0"/>
        <w:kinsoku/>
        <w:wordWrap/>
        <w:overflowPunct/>
        <w:topLinePunct w:val="0"/>
        <w:bidi w:val="0"/>
        <w:adjustRightInd/>
        <w:snapToGrid/>
        <w:spacing w:after="0" w:line="500" w:lineRule="exact"/>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（3）供应商须具有《人力资源服务许可证》（提供有效的证书盖章复印件）。</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00" w:lineRule="exact"/>
        <w:ind w:right="0" w:rightChars="0"/>
        <w:jc w:val="both"/>
        <w:textAlignment w:val="auto"/>
        <w:rPr>
          <w:rFonts w:hint="eastAsia" w:ascii="黑体" w:hAnsi="黑体" w:eastAsia="黑体" w:cs="黑体"/>
          <w:b w:val="0"/>
          <w:bCs w:val="0"/>
          <w:i w:val="0"/>
          <w:iCs w:val="0"/>
          <w:caps w:val="0"/>
          <w:color w:val="000000" w:themeColor="text1"/>
          <w:spacing w:val="0"/>
          <w:sz w:val="28"/>
          <w:szCs w:val="28"/>
          <w:shd w:val="clear"/>
          <w14:textFill>
            <w14:solidFill>
              <w14:schemeClr w14:val="tx1"/>
            </w14:solidFill>
          </w14:textFill>
        </w:rPr>
      </w:pPr>
      <w:r>
        <w:rPr>
          <w:rFonts w:hint="eastAsia" w:ascii="黑体" w:hAnsi="黑体" w:eastAsia="黑体" w:cs="黑体"/>
          <w:b w:val="0"/>
          <w:bCs w:val="0"/>
          <w:i w:val="0"/>
          <w:iCs w:val="0"/>
          <w:caps w:val="0"/>
          <w:color w:val="000000" w:themeColor="text1"/>
          <w:spacing w:val="0"/>
          <w:sz w:val="28"/>
          <w:szCs w:val="28"/>
          <w:shd w:val="clear"/>
          <w:lang w:val="en-US" w:eastAsia="zh-CN"/>
          <w14:textFill>
            <w14:solidFill>
              <w14:schemeClr w14:val="tx1"/>
            </w14:solidFill>
          </w14:textFill>
        </w:rPr>
        <w:t>三、获取采购文件</w:t>
      </w:r>
    </w:p>
    <w:p>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Chars="0"/>
        <w:jc w:val="both"/>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时间：2025年8月8日至2025年8月15日（上班时间段：8:00-12:00,14:00-17:00，节假日除外）。</w:t>
      </w:r>
    </w:p>
    <w:p>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Chars="0"/>
        <w:jc w:val="both"/>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eastAsia="zh-CN"/>
        </w:rPr>
        <w:t>方式：</w:t>
      </w:r>
      <w:r>
        <w:rPr>
          <w:rFonts w:hint="eastAsia" w:ascii="仿宋" w:hAnsi="仿宋" w:eastAsia="仿宋" w:cs="仿宋"/>
          <w:i w:val="0"/>
          <w:iCs w:val="0"/>
          <w:caps w:val="0"/>
          <w:spacing w:val="0"/>
          <w:sz w:val="28"/>
          <w:szCs w:val="28"/>
          <w:shd w:val="clear"/>
          <w:lang w:val="en-US" w:eastAsia="zh-CN"/>
        </w:rPr>
        <w:t>投标人从公告链接自行下载并填写《报名表》（见附件）。</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00" w:lineRule="exact"/>
        <w:ind w:right="0" w:rightChars="0"/>
        <w:jc w:val="both"/>
        <w:textAlignment w:val="auto"/>
        <w:rPr>
          <w:rFonts w:hint="eastAsia" w:ascii="黑体" w:hAnsi="黑体" w:eastAsia="黑体" w:cs="黑体"/>
          <w:b w:val="0"/>
          <w:bCs w:val="0"/>
          <w:i w:val="0"/>
          <w:iCs w:val="0"/>
          <w:caps w:val="0"/>
          <w:color w:val="000000" w:themeColor="text1"/>
          <w:spacing w:val="0"/>
          <w:sz w:val="28"/>
          <w:szCs w:val="28"/>
          <w:shd w:val="clear"/>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28"/>
          <w:szCs w:val="28"/>
          <w:shd w:val="clear"/>
          <w:lang w:val="en-US" w:eastAsia="zh-CN"/>
          <w14:textFill>
            <w14:solidFill>
              <w14:schemeClr w14:val="tx1"/>
            </w14:solidFill>
          </w14:textFill>
        </w:rPr>
        <w:t>四、响应文件提交</w:t>
      </w:r>
    </w:p>
    <w:p>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Chars="0"/>
        <w:jc w:val="both"/>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截止时间：2025年8月26日9时00分（北京时间）。</w:t>
      </w:r>
    </w:p>
    <w:p>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Chars="0"/>
        <w:jc w:val="both"/>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地点：珠海市香洲区第二人民医院保障楼207室。</w:t>
      </w:r>
    </w:p>
    <w:p>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Chars="0"/>
        <w:jc w:val="both"/>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响应文件份数：正本一份，副本两份。</w:t>
      </w:r>
    </w:p>
    <w:p>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Chars="0"/>
        <w:jc w:val="both"/>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说明：响应文件需密闭投递，投递文件封面需注明参加的项目、提交单位、联系人、联系电话等信息并加盖公章。</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00" w:lineRule="exact"/>
        <w:ind w:right="0" w:rightChars="0"/>
        <w:jc w:val="both"/>
        <w:textAlignment w:val="auto"/>
        <w:rPr>
          <w:rFonts w:hint="eastAsia" w:ascii="黑体" w:hAnsi="黑体" w:eastAsia="黑体" w:cs="黑体"/>
          <w:b w:val="0"/>
          <w:bCs w:val="0"/>
          <w:i w:val="0"/>
          <w:iCs w:val="0"/>
          <w:caps w:val="0"/>
          <w:color w:val="000000" w:themeColor="text1"/>
          <w:spacing w:val="0"/>
          <w:sz w:val="28"/>
          <w:szCs w:val="28"/>
          <w:shd w:val="clear"/>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28"/>
          <w:szCs w:val="28"/>
          <w:shd w:val="clear"/>
          <w:lang w:val="en-US" w:eastAsia="zh-CN"/>
          <w14:textFill>
            <w14:solidFill>
              <w14:schemeClr w14:val="tx1"/>
            </w14:solidFill>
          </w14:textFill>
        </w:rPr>
        <w:t>五、开启</w:t>
      </w:r>
    </w:p>
    <w:p>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Chars="0"/>
        <w:jc w:val="both"/>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时间：2025年8月26</w:t>
      </w:r>
      <w:bookmarkStart w:id="151" w:name="_GoBack"/>
      <w:bookmarkEnd w:id="151"/>
      <w:r>
        <w:rPr>
          <w:rFonts w:hint="eastAsia" w:ascii="仿宋" w:hAnsi="仿宋" w:eastAsia="仿宋" w:cs="仿宋"/>
          <w:i w:val="0"/>
          <w:iCs w:val="0"/>
          <w:caps w:val="0"/>
          <w:spacing w:val="0"/>
          <w:sz w:val="28"/>
          <w:szCs w:val="28"/>
          <w:shd w:val="clear"/>
          <w:lang w:val="en-US" w:eastAsia="zh-CN"/>
        </w:rPr>
        <w:t>日9时10分（北京时间）（自招标文件开始发出之日起至投标人提交投标文件截至之日止，不得少于5个自然日）。</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00" w:lineRule="exact"/>
        <w:ind w:right="0" w:rightChars="0"/>
        <w:jc w:val="both"/>
        <w:textAlignment w:val="auto"/>
        <w:rPr>
          <w:rFonts w:hint="eastAsia" w:ascii="黑体" w:hAnsi="黑体" w:eastAsia="黑体" w:cs="黑体"/>
          <w:b w:val="0"/>
          <w:bCs w:val="0"/>
          <w:i w:val="0"/>
          <w:iCs w:val="0"/>
          <w:caps w:val="0"/>
          <w:color w:val="000000" w:themeColor="text1"/>
          <w:spacing w:val="0"/>
          <w:sz w:val="28"/>
          <w:szCs w:val="28"/>
          <w:shd w:val="clear"/>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28"/>
          <w:szCs w:val="28"/>
          <w:shd w:val="clear"/>
          <w:lang w:val="en-US" w:eastAsia="zh-CN"/>
          <w14:textFill>
            <w14:solidFill>
              <w14:schemeClr w14:val="tx1"/>
            </w14:solidFill>
          </w14:textFill>
        </w:rPr>
        <w:t>六、公告期限</w:t>
      </w:r>
    </w:p>
    <w:p>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Chars="0"/>
        <w:jc w:val="both"/>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自本公告发布之日起5个工作日。</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00" w:lineRule="exact"/>
        <w:ind w:right="0" w:rightChars="0"/>
        <w:jc w:val="both"/>
        <w:textAlignment w:val="auto"/>
        <w:rPr>
          <w:rFonts w:hint="eastAsia" w:ascii="黑体" w:hAnsi="黑体" w:eastAsia="黑体" w:cs="黑体"/>
          <w:b w:val="0"/>
          <w:bCs w:val="0"/>
          <w:i w:val="0"/>
          <w:iCs w:val="0"/>
          <w:caps w:val="0"/>
          <w:color w:val="000000" w:themeColor="text1"/>
          <w:spacing w:val="0"/>
          <w:sz w:val="28"/>
          <w:szCs w:val="28"/>
          <w:shd w:val="clear"/>
          <w:lang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28"/>
          <w:szCs w:val="28"/>
          <w:shd w:val="clear"/>
          <w:lang w:val="en-US" w:eastAsia="zh-CN"/>
          <w14:textFill>
            <w14:solidFill>
              <w14:schemeClr w14:val="tx1"/>
            </w14:solidFill>
          </w14:textFill>
        </w:rPr>
        <w:t>七</w:t>
      </w:r>
      <w:r>
        <w:rPr>
          <w:rFonts w:hint="eastAsia" w:ascii="黑体" w:hAnsi="黑体" w:eastAsia="黑体" w:cs="黑体"/>
          <w:b w:val="0"/>
          <w:bCs w:val="0"/>
          <w:i w:val="0"/>
          <w:iCs w:val="0"/>
          <w:caps w:val="0"/>
          <w:color w:val="000000" w:themeColor="text1"/>
          <w:spacing w:val="0"/>
          <w:sz w:val="28"/>
          <w:szCs w:val="28"/>
          <w:shd w:val="clear"/>
          <w:lang w:eastAsia="zh-CN"/>
          <w14:textFill>
            <w14:solidFill>
              <w14:schemeClr w14:val="tx1"/>
            </w14:solidFill>
          </w14:textFill>
        </w:rPr>
        <w:t>、凡对本次采购提出询问，请按以下方式联系</w:t>
      </w:r>
    </w:p>
    <w:p>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Chars="0"/>
        <w:jc w:val="both"/>
        <w:textAlignment w:val="auto"/>
        <w:rPr>
          <w:rFonts w:hint="eastAsia" w:ascii="仿宋" w:hAnsi="仿宋" w:eastAsia="仿宋" w:cs="仿宋"/>
          <w:i w:val="0"/>
          <w:iCs w:val="0"/>
          <w:caps w:val="0"/>
          <w:spacing w:val="0"/>
          <w:sz w:val="28"/>
          <w:szCs w:val="28"/>
          <w:shd w:val="clear"/>
          <w:lang w:val="en-US" w:eastAsia="zh-CN"/>
        </w:rPr>
      </w:pPr>
      <w:r>
        <w:rPr>
          <w:rFonts w:hint="default" w:ascii="仿宋" w:hAnsi="仿宋" w:eastAsia="仿宋" w:cs="仿宋"/>
          <w:sz w:val="28"/>
          <w:szCs w:val="28"/>
          <w:lang w:val="en-US"/>
        </w:rPr>
        <w:t>招标</w:t>
      </w:r>
      <w:r>
        <w:rPr>
          <w:rFonts w:hint="eastAsia" w:ascii="仿宋" w:hAnsi="仿宋" w:eastAsia="仿宋" w:cs="仿宋"/>
          <w:i w:val="0"/>
          <w:iCs w:val="0"/>
          <w:caps w:val="0"/>
          <w:spacing w:val="0"/>
          <w:sz w:val="28"/>
          <w:szCs w:val="28"/>
          <w:shd w:val="clear"/>
          <w:lang w:val="en-US" w:eastAsia="zh-CN"/>
        </w:rPr>
        <w:t>人信息</w:t>
      </w:r>
    </w:p>
    <w:p>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Chars="0"/>
        <w:jc w:val="both"/>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名称：珠海市香洲区第二人民医院</w:t>
      </w:r>
    </w:p>
    <w:p>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Chars="0"/>
        <w:jc w:val="both"/>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地址：珠海市香洲区南屏镇南泉路21号</w:t>
      </w:r>
    </w:p>
    <w:p>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Chars="0"/>
        <w:jc w:val="both"/>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联系人：刘先生，联系电话：0756-8288723</w:t>
      </w:r>
    </w:p>
    <w:p>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Chars="0"/>
        <w:jc w:val="both"/>
        <w:textAlignment w:val="auto"/>
        <w:rPr>
          <w:rFonts w:hint="default"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邮箱：</w:t>
      </w:r>
      <w:r>
        <w:rPr>
          <w:rFonts w:hint="default" w:ascii="Times New Roman" w:hAnsi="Times New Roman" w:eastAsia="仿宋" w:cs="Times New Roman"/>
          <w:i w:val="0"/>
          <w:iCs w:val="0"/>
          <w:caps w:val="0"/>
          <w:spacing w:val="0"/>
          <w:sz w:val="28"/>
          <w:szCs w:val="28"/>
          <w:shd w:val="clear"/>
          <w:lang w:val="en-US" w:eastAsia="zh-CN"/>
        </w:rPr>
        <w:t>xzqdermyyll@zhuhai.gov.cn</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440" w:leftChars="200" w:firstLineChars="0"/>
        <w:textAlignment w:val="auto"/>
        <w:rPr>
          <w:rFonts w:hint="eastAsia" w:ascii="仿宋" w:hAnsi="仿宋" w:eastAsia="仿宋" w:cs="仿宋"/>
          <w:i w:val="0"/>
          <w:caps w:val="0"/>
          <w:spacing w:val="0"/>
          <w:sz w:val="28"/>
          <w:szCs w:val="28"/>
          <w:shd w:val="clear"/>
          <w:lang w:val="en-US" w:eastAsia="zh-CN"/>
        </w:rPr>
      </w:pPr>
      <w:r>
        <w:rPr>
          <w:rFonts w:hint="eastAsia" w:ascii="仿宋" w:hAnsi="仿宋" w:eastAsia="仿宋" w:cs="仿宋"/>
          <w:i w:val="0"/>
          <w:caps w:val="0"/>
          <w:spacing w:val="0"/>
          <w:sz w:val="28"/>
          <w:szCs w:val="28"/>
          <w:shd w:val="clear"/>
          <w:lang w:val="en-US" w:eastAsia="zh-CN"/>
        </w:rPr>
        <w:t>附件：1.报名表</w:t>
      </w:r>
    </w:p>
    <w:p>
      <w:pPr>
        <w:keepNext w:val="0"/>
        <w:keepLines w:val="0"/>
        <w:pageBreakBefore w:val="0"/>
        <w:kinsoku/>
        <w:wordWrap/>
        <w:overflowPunct/>
        <w:topLinePunct w:val="0"/>
        <w:bidi w:val="0"/>
        <w:adjustRightInd/>
        <w:snapToGrid/>
        <w:spacing w:before="0" w:after="0" w:line="500" w:lineRule="exact"/>
        <w:ind w:left="440" w:leftChars="200" w:firstLine="840" w:firstLineChars="300"/>
        <w:textAlignment w:val="auto"/>
        <w:rPr>
          <w:rFonts w:hint="eastAsia" w:ascii="宋体" w:hAnsi="宋体" w:eastAsia="宋体" w:cs="宋体"/>
          <w:color w:val="auto"/>
          <w:sz w:val="24"/>
          <w:szCs w:val="24"/>
        </w:rPr>
      </w:pPr>
      <w:r>
        <w:rPr>
          <w:rFonts w:hint="eastAsia" w:ascii="仿宋" w:hAnsi="仿宋" w:eastAsia="仿宋" w:cs="仿宋"/>
          <w:i w:val="0"/>
          <w:caps w:val="0"/>
          <w:spacing w:val="0"/>
          <w:sz w:val="28"/>
          <w:szCs w:val="28"/>
          <w:shd w:val="clear"/>
          <w:lang w:val="en-US" w:eastAsia="zh-CN"/>
        </w:rPr>
        <w:t>2.招标文件</w:t>
      </w:r>
    </w:p>
    <w:p>
      <w:pPr>
        <w:pStyle w:val="14"/>
        <w:keepNext w:val="0"/>
        <w:keepLines w:val="0"/>
        <w:pageBreakBefore w:val="0"/>
        <w:widowControl w:val="0"/>
        <w:kinsoku/>
        <w:wordWrap/>
        <w:overflowPunct/>
        <w:topLinePunct w:val="0"/>
        <w:autoSpaceDE w:val="0"/>
        <w:autoSpaceDN w:val="0"/>
        <w:bidi w:val="0"/>
        <w:adjustRightInd/>
        <w:snapToGrid/>
        <w:spacing w:after="0" w:line="579" w:lineRule="exact"/>
        <w:ind w:left="0" w:leftChars="0" w:firstLine="0" w:firstLineChars="0"/>
        <w:textAlignment w:val="auto"/>
        <w:rPr>
          <w:rFonts w:hint="eastAsia" w:ascii="仿宋_GB2312" w:hAnsi="仿宋_GB2312" w:eastAsia="仿宋_GB2312" w:cs="仿宋_GB2312"/>
          <w:i w:val="0"/>
          <w:caps w:val="0"/>
          <w:color w:val="auto"/>
          <w:spacing w:val="0"/>
          <w:sz w:val="28"/>
          <w:szCs w:val="28"/>
          <w:shd w:val="clear" w:fill="FFFFFF"/>
          <w:lang w:eastAsia="zh-CN"/>
        </w:rPr>
        <w:sectPr>
          <w:pgSz w:w="11906" w:h="16838"/>
          <w:pgMar w:top="1434" w:right="1474" w:bottom="1434" w:left="1474" w:header="851" w:footer="992" w:gutter="0"/>
          <w:pgNumType w:fmt="decimal"/>
          <w:cols w:space="425" w:num="1"/>
          <w:docGrid w:type="lines" w:linePitch="312" w:charSpace="0"/>
        </w:sectPr>
      </w:pPr>
    </w:p>
    <w:p>
      <w:pPr>
        <w:spacing w:line="360" w:lineRule="auto"/>
        <w:jc w:val="center"/>
        <w:rPr>
          <w:rFonts w:hint="eastAsia" w:ascii="宋体" w:hAnsi="宋体" w:cs="宋体"/>
          <w:b/>
          <w:kern w:val="28"/>
          <w:sz w:val="32"/>
          <w:szCs w:val="32"/>
          <w:lang w:val="en-US" w:eastAsia="zh-CN"/>
        </w:rPr>
      </w:pPr>
      <w:r>
        <w:rPr>
          <w:rFonts w:hint="eastAsia" w:cs="宋体"/>
          <w:b/>
          <w:kern w:val="28"/>
          <w:sz w:val="32"/>
          <w:szCs w:val="32"/>
          <w:lang w:val="en-US" w:eastAsia="zh-CN"/>
        </w:rPr>
        <w:t>第二部分 用户需求书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0" w:firstLineChars="0"/>
        <w:jc w:val="both"/>
        <w:textAlignment w:val="auto"/>
        <w:rPr>
          <w:rFonts w:hint="default" w:ascii="宋体" w:hAnsi="宋体" w:eastAsia="宋体" w:cs="宋体"/>
          <w:b/>
          <w:bCs/>
          <w:sz w:val="21"/>
          <w:szCs w:val="21"/>
          <w:lang w:val="en-US" w:eastAsia="zh-CN"/>
        </w:rPr>
      </w:pPr>
      <w:r>
        <w:rPr>
          <w:rFonts w:hint="eastAsia" w:cs="宋体"/>
          <w:b/>
          <w:bCs/>
          <w:sz w:val="21"/>
          <w:szCs w:val="21"/>
          <w:lang w:val="en-US" w:eastAsia="zh-CN"/>
        </w:rPr>
        <w:t>说明：</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0" w:firstLineChars="0"/>
        <w:jc w:val="both"/>
        <w:textAlignment w:val="auto"/>
        <w:rPr>
          <w:rFonts w:hint="default" w:ascii="宋体" w:hAnsi="宋体" w:eastAsia="宋体" w:cs="宋体"/>
          <w:b/>
          <w:bCs/>
          <w:sz w:val="21"/>
          <w:szCs w:val="21"/>
          <w:lang w:val="en-US" w:eastAsia="zh-CN"/>
        </w:rPr>
      </w:pPr>
      <w:r>
        <w:rPr>
          <w:rFonts w:hint="default" w:ascii="宋体" w:hAnsi="宋体" w:eastAsia="宋体" w:cs="宋体"/>
          <w:b/>
          <w:bCs/>
          <w:sz w:val="21"/>
          <w:szCs w:val="21"/>
          <w:lang w:val="en-US" w:eastAsia="zh-CN"/>
        </w:rPr>
        <w:t>1.投标人须对本项目为单位的货物及服务进行整体响应，任何只对采购标的或者服务内容其中一部分内容进行的响应都被视为无效投标。</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0" w:firstLineChars="0"/>
        <w:jc w:val="both"/>
        <w:textAlignment w:val="auto"/>
        <w:rPr>
          <w:rFonts w:hint="default" w:ascii="宋体" w:hAnsi="宋体" w:eastAsia="宋体" w:cs="宋体"/>
          <w:b/>
          <w:bCs/>
          <w:sz w:val="21"/>
          <w:szCs w:val="21"/>
          <w:lang w:val="en-US" w:eastAsia="zh-CN"/>
        </w:rPr>
      </w:pPr>
      <w:r>
        <w:rPr>
          <w:rFonts w:hint="default" w:ascii="宋体" w:hAnsi="宋体" w:eastAsia="宋体" w:cs="宋体"/>
          <w:b/>
          <w:bCs/>
          <w:sz w:val="21"/>
          <w:szCs w:val="21"/>
          <w:lang w:val="en-US" w:eastAsia="zh-CN"/>
        </w:rPr>
        <w:t>2.用户需求书中标注“★”号部分为关键技术参数、功能、要求，任何对这些项目的负偏离将被视为未实质性响应招标文件要求而作无效投标处理。投标文件中须按照“★”条款的要求逐条响应（若要求提供其他证明材料，还须提供要求的证明材料），“★”条款技术指标负偏离或者未响应，作无效投标处理。</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0" w:firstLineChars="0"/>
        <w:jc w:val="both"/>
        <w:textAlignment w:val="auto"/>
        <w:rPr>
          <w:rFonts w:hint="default" w:ascii="宋体" w:hAnsi="宋体" w:eastAsia="宋体" w:cs="宋体"/>
          <w:b/>
          <w:bCs/>
          <w:sz w:val="21"/>
          <w:szCs w:val="21"/>
          <w:lang w:val="en-US" w:eastAsia="zh-CN"/>
        </w:rPr>
      </w:pPr>
      <w:r>
        <w:rPr>
          <w:rFonts w:hint="default" w:ascii="宋体" w:hAnsi="宋体" w:eastAsia="宋体" w:cs="宋体"/>
          <w:b/>
          <w:bCs/>
          <w:sz w:val="21"/>
          <w:szCs w:val="21"/>
          <w:lang w:val="en-US" w:eastAsia="zh-CN"/>
        </w:rPr>
        <w:t>3.用户需求书中标注“▲”号条款为重要技术参数，投标文件中须按照“▲”条款的要求逐条响应并标注证明文件所在页码（若要求提供其他证明材料，还须提供要求的证明材料），“▲”条款技术指标负偏离或者未响应，对应项将不予以计分。但不作为无效投标条款。</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0" w:firstLineChars="0"/>
        <w:jc w:val="both"/>
        <w:textAlignment w:val="auto"/>
        <w:rPr>
          <w:rFonts w:hint="default" w:ascii="宋体" w:hAnsi="宋体" w:eastAsia="宋体" w:cs="宋体"/>
          <w:b/>
          <w:bCs/>
          <w:sz w:val="21"/>
          <w:szCs w:val="21"/>
          <w:lang w:val="en-US" w:eastAsia="zh-CN"/>
        </w:rPr>
      </w:pPr>
      <w:r>
        <w:rPr>
          <w:rFonts w:hint="default" w:ascii="宋体" w:hAnsi="宋体" w:eastAsia="宋体" w:cs="宋体"/>
          <w:b/>
          <w:bCs/>
          <w:sz w:val="21"/>
          <w:szCs w:val="21"/>
          <w:lang w:val="en-US" w:eastAsia="zh-CN"/>
        </w:rPr>
        <w:t>4.投标报价（总价）中不得包含招标文件要求以外的内容，否则，在评标时不予核减。若投标报价有缺漏项的，缺漏项部分的价格视为已包含在投标报价中，中标后不作任何调整。</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0" w:firstLineChars="0"/>
        <w:jc w:val="both"/>
        <w:textAlignment w:val="auto"/>
        <w:rPr>
          <w:rFonts w:hint="default" w:ascii="宋体" w:hAnsi="宋体" w:eastAsia="宋体" w:cs="宋体"/>
          <w:b/>
          <w:bCs/>
          <w:sz w:val="21"/>
          <w:szCs w:val="21"/>
          <w:lang w:val="en-US" w:eastAsia="zh-CN"/>
        </w:rPr>
      </w:pPr>
      <w:r>
        <w:rPr>
          <w:rFonts w:hint="default" w:ascii="宋体" w:hAnsi="宋体" w:eastAsia="宋体" w:cs="宋体"/>
          <w:b/>
          <w:bCs/>
          <w:sz w:val="21"/>
          <w:szCs w:val="21"/>
          <w:lang w:val="en-US" w:eastAsia="zh-CN"/>
        </w:rPr>
        <w:t>5.本项目采购标的对应的中小微企业划分标准所属行业为：其他未列明行业。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一、项目概况</w:t>
      </w:r>
    </w:p>
    <w:p>
      <w:pPr>
        <w:pStyle w:val="6"/>
        <w:keepNext w:val="0"/>
        <w:keepLines w:val="0"/>
        <w:pageBreakBefore w:val="0"/>
        <w:widowControl w:val="0"/>
        <w:kinsoku/>
        <w:wordWrap/>
        <w:overflowPunct/>
        <w:topLinePunct w:val="0"/>
        <w:bidi w:val="0"/>
        <w:adjustRightInd/>
        <w:snapToGrid/>
        <w:spacing w:line="360" w:lineRule="auto"/>
        <w:ind w:firstLine="440"/>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1.项目名称：珠海市香洲区第二人民医院第三方招聘服务年度供应商采购项目</w:t>
      </w:r>
    </w:p>
    <w:p>
      <w:pPr>
        <w:pStyle w:val="6"/>
        <w:keepNext w:val="0"/>
        <w:keepLines w:val="0"/>
        <w:pageBreakBefore w:val="0"/>
        <w:widowControl w:val="0"/>
        <w:kinsoku/>
        <w:wordWrap/>
        <w:overflowPunct/>
        <w:topLinePunct w:val="0"/>
        <w:bidi w:val="0"/>
        <w:adjustRightInd/>
        <w:snapToGrid/>
        <w:spacing w:line="360" w:lineRule="auto"/>
        <w:ind w:firstLine="440"/>
        <w:textAlignment w:val="auto"/>
        <w:rPr>
          <w:rFonts w:hint="eastAsia" w:ascii="宋体" w:hAnsi="宋体" w:eastAsia="宋体" w:cs="宋体"/>
          <w:b w:val="0"/>
          <w:bCs w:val="0"/>
          <w:sz w:val="22"/>
          <w:szCs w:val="22"/>
          <w:highlight w:val="none"/>
          <w:lang w:val="en-US" w:eastAsia="zh-CN" w:bidi="zh-CN"/>
        </w:rPr>
      </w:pPr>
      <w:r>
        <w:rPr>
          <w:rFonts w:hint="eastAsia" w:ascii="宋体" w:hAnsi="宋体" w:cs="宋体"/>
          <w:b w:val="0"/>
          <w:bCs w:val="0"/>
          <w:sz w:val="22"/>
          <w:szCs w:val="22"/>
          <w:highlight w:val="none"/>
          <w:lang w:val="en-US" w:eastAsia="zh-CN"/>
        </w:rPr>
        <w:t>2.</w:t>
      </w:r>
      <w:r>
        <w:rPr>
          <w:rFonts w:hint="eastAsia" w:ascii="宋体" w:hAnsi="宋体" w:eastAsia="宋体" w:cs="宋体"/>
          <w:b w:val="0"/>
          <w:bCs w:val="0"/>
          <w:sz w:val="22"/>
          <w:szCs w:val="22"/>
          <w:highlight w:val="none"/>
          <w:lang w:val="en-US" w:eastAsia="zh-CN"/>
        </w:rPr>
        <w:t>服务范围：</w:t>
      </w:r>
      <w:r>
        <w:rPr>
          <w:rFonts w:hint="eastAsia" w:ascii="宋体" w:hAnsi="宋体" w:eastAsia="宋体" w:cs="宋体"/>
          <w:b w:val="0"/>
          <w:bCs w:val="0"/>
          <w:sz w:val="22"/>
          <w:szCs w:val="22"/>
          <w:highlight w:val="none"/>
          <w:lang w:val="en-US" w:eastAsia="zh-CN" w:bidi="zh-CN"/>
        </w:rPr>
        <w:t>珠海市香洲区第二人民医院第三方招聘服务</w:t>
      </w:r>
    </w:p>
    <w:p>
      <w:pPr>
        <w:pStyle w:val="6"/>
        <w:keepNext w:val="0"/>
        <w:keepLines w:val="0"/>
        <w:pageBreakBefore w:val="0"/>
        <w:widowControl w:val="0"/>
        <w:kinsoku/>
        <w:wordWrap/>
        <w:overflowPunct/>
        <w:topLinePunct w:val="0"/>
        <w:bidi w:val="0"/>
        <w:adjustRightInd/>
        <w:snapToGrid/>
        <w:spacing w:line="360" w:lineRule="auto"/>
        <w:ind w:firstLine="440"/>
        <w:textAlignment w:val="auto"/>
        <w:rPr>
          <w:rFonts w:hint="eastAsia" w:ascii="宋体" w:hAnsi="宋体" w:eastAsia="宋体" w:cs="宋体"/>
          <w:b w:val="0"/>
          <w:bCs w:val="0"/>
          <w:sz w:val="22"/>
          <w:szCs w:val="22"/>
          <w:highlight w:val="none"/>
          <w:lang w:val="en-US" w:eastAsia="zh-CN" w:bidi="zh-CN"/>
        </w:rPr>
      </w:pPr>
      <w:r>
        <w:rPr>
          <w:rFonts w:hint="eastAsia" w:ascii="宋体" w:hAnsi="宋体" w:eastAsia="宋体" w:cs="宋体"/>
          <w:b w:val="0"/>
          <w:bCs w:val="0"/>
          <w:sz w:val="22"/>
          <w:szCs w:val="22"/>
          <w:highlight w:val="none"/>
          <w:lang w:val="en-US" w:eastAsia="zh-CN" w:bidi="zh-CN"/>
        </w:rPr>
        <w:t>3.采购预算：39077.50元</w:t>
      </w:r>
    </w:p>
    <w:p>
      <w:pPr>
        <w:pStyle w:val="6"/>
        <w:keepNext w:val="0"/>
        <w:keepLines w:val="0"/>
        <w:pageBreakBefore w:val="0"/>
        <w:widowControl w:val="0"/>
        <w:kinsoku/>
        <w:wordWrap/>
        <w:overflowPunct/>
        <w:topLinePunct w:val="0"/>
        <w:bidi w:val="0"/>
        <w:adjustRightInd/>
        <w:snapToGrid/>
        <w:spacing w:line="360" w:lineRule="auto"/>
        <w:ind w:firstLine="440"/>
        <w:textAlignment w:val="auto"/>
        <w:rPr>
          <w:rFonts w:hint="eastAsia" w:ascii="宋体" w:hAnsi="宋体" w:eastAsia="宋体" w:cs="宋体"/>
          <w:b w:val="0"/>
          <w:bCs w:val="0"/>
          <w:i w:val="0"/>
          <w:iCs w:val="0"/>
          <w:caps w:val="0"/>
          <w:spacing w:val="0"/>
          <w:sz w:val="22"/>
          <w:szCs w:val="22"/>
          <w:highlight w:val="none"/>
          <w:lang w:val="en-US" w:eastAsia="zh-CN"/>
        </w:rPr>
      </w:pPr>
      <w:r>
        <w:rPr>
          <w:rFonts w:hint="eastAsia" w:ascii="宋体" w:hAnsi="宋体" w:cs="宋体"/>
          <w:b w:val="0"/>
          <w:bCs w:val="0"/>
          <w:sz w:val="22"/>
          <w:szCs w:val="22"/>
          <w:highlight w:val="none"/>
          <w:lang w:val="en-US" w:eastAsia="zh-CN"/>
        </w:rPr>
        <w:t>4</w:t>
      </w:r>
      <w:r>
        <w:rPr>
          <w:rFonts w:hint="eastAsia" w:ascii="宋体" w:hAnsi="宋体" w:eastAsia="宋体" w:cs="宋体"/>
          <w:b w:val="0"/>
          <w:bCs w:val="0"/>
          <w:sz w:val="22"/>
          <w:szCs w:val="22"/>
          <w:highlight w:val="none"/>
          <w:lang w:val="en-US" w:eastAsia="zh-CN"/>
        </w:rPr>
        <w:t>.服务期限：</w:t>
      </w:r>
      <w:r>
        <w:rPr>
          <w:rFonts w:hint="eastAsia" w:ascii="宋体" w:hAnsi="宋体" w:cs="宋体"/>
          <w:b w:val="0"/>
          <w:bCs w:val="0"/>
          <w:i w:val="0"/>
          <w:iCs w:val="0"/>
          <w:caps w:val="0"/>
          <w:spacing w:val="0"/>
          <w:sz w:val="22"/>
          <w:szCs w:val="22"/>
          <w:highlight w:val="none"/>
          <w:lang w:val="en-US" w:eastAsia="zh-CN"/>
        </w:rPr>
        <w:t>2</w:t>
      </w:r>
      <w:r>
        <w:rPr>
          <w:rFonts w:hint="eastAsia" w:ascii="宋体" w:hAnsi="宋体" w:eastAsia="宋体" w:cs="宋体"/>
          <w:b w:val="0"/>
          <w:bCs w:val="0"/>
          <w:i w:val="0"/>
          <w:iCs w:val="0"/>
          <w:caps w:val="0"/>
          <w:spacing w:val="0"/>
          <w:sz w:val="22"/>
          <w:szCs w:val="22"/>
          <w:highlight w:val="none"/>
          <w:lang w:val="en-US" w:eastAsia="zh-CN"/>
        </w:rPr>
        <w:t>年（</w:t>
      </w:r>
      <w:r>
        <w:rPr>
          <w:rFonts w:hint="eastAsia" w:ascii="宋体" w:hAnsi="宋体" w:eastAsia="宋体" w:cs="宋体"/>
          <w:b w:val="0"/>
          <w:bCs w:val="0"/>
          <w:sz w:val="22"/>
          <w:szCs w:val="22"/>
          <w:highlight w:val="none"/>
          <w:lang w:val="en-US" w:eastAsia="zh-CN" w:bidi="zh-CN"/>
        </w:rPr>
        <w:t>自</w:t>
      </w:r>
      <w:r>
        <w:rPr>
          <w:rFonts w:hint="eastAsia" w:ascii="宋体" w:hAnsi="宋体" w:cs="宋体"/>
          <w:b w:val="0"/>
          <w:bCs w:val="0"/>
          <w:sz w:val="22"/>
          <w:szCs w:val="22"/>
          <w:highlight w:val="none"/>
          <w:lang w:val="en-US" w:eastAsia="zh-CN" w:bidi="zh-CN"/>
        </w:rPr>
        <w:t>合同签订之日起</w:t>
      </w:r>
      <w:r>
        <w:rPr>
          <w:rFonts w:hint="eastAsia" w:ascii="宋体" w:hAnsi="宋体" w:eastAsia="宋体" w:cs="宋体"/>
          <w:b w:val="0"/>
          <w:bCs w:val="0"/>
          <w:sz w:val="22"/>
          <w:szCs w:val="22"/>
          <w:highlight w:val="none"/>
          <w:lang w:val="en-US" w:eastAsia="zh-CN" w:bidi="zh-CN"/>
        </w:rPr>
        <w:t>）</w:t>
      </w:r>
      <w:r>
        <w:rPr>
          <w:rFonts w:hint="eastAsia" w:ascii="宋体" w:hAnsi="宋体" w:eastAsia="宋体" w:cs="宋体"/>
          <w:b w:val="0"/>
          <w:bCs w:val="0"/>
          <w:i w:val="0"/>
          <w:iCs w:val="0"/>
          <w:caps w:val="0"/>
          <w:spacing w:val="0"/>
          <w:sz w:val="22"/>
          <w:szCs w:val="2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二、技术参数、服务要求</w:t>
      </w:r>
    </w:p>
    <w:p>
      <w:pPr>
        <w:pStyle w:val="6"/>
        <w:keepNext w:val="0"/>
        <w:keepLines w:val="0"/>
        <w:pageBreakBefore w:val="0"/>
        <w:widowControl w:val="0"/>
        <w:kinsoku/>
        <w:wordWrap/>
        <w:overflowPunct/>
        <w:topLinePunct w:val="0"/>
        <w:bidi w:val="0"/>
        <w:adjustRightInd/>
        <w:snapToGrid/>
        <w:spacing w:line="360"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1.供应商应具有相应的人才招聘综合实力、完善的售后服务体系、专业权威的内容分享平台及丰富全面的医疗人才的数据积累。</w:t>
      </w:r>
    </w:p>
    <w:p>
      <w:pPr>
        <w:pStyle w:val="6"/>
        <w:keepNext w:val="0"/>
        <w:keepLines w:val="0"/>
        <w:pageBreakBefore w:val="0"/>
        <w:widowControl w:val="0"/>
        <w:kinsoku/>
        <w:wordWrap/>
        <w:overflowPunct/>
        <w:topLinePunct w:val="0"/>
        <w:bidi w:val="0"/>
        <w:adjustRightInd/>
        <w:snapToGrid/>
        <w:spacing w:line="360" w:lineRule="auto"/>
        <w:ind w:left="0" w:leftChars="0" w:firstLine="221" w:firstLineChars="100"/>
        <w:textAlignment w:val="auto"/>
        <w:rPr>
          <w:rFonts w:hint="eastAsia" w:ascii="宋体" w:hAnsi="宋体" w:eastAsia="宋体" w:cs="宋体"/>
          <w:sz w:val="22"/>
          <w:szCs w:val="22"/>
          <w:highlight w:val="none"/>
          <w:lang w:val="en-US" w:eastAsia="zh-CN"/>
        </w:rPr>
      </w:pPr>
      <w:r>
        <w:rPr>
          <w:rFonts w:hint="default" w:ascii="宋体" w:hAnsi="宋体" w:eastAsia="宋体" w:cs="宋体"/>
          <w:b/>
          <w:bCs/>
          <w:sz w:val="22"/>
          <w:szCs w:val="22"/>
          <w:lang w:val="en-US" w:eastAsia="zh-CN"/>
        </w:rPr>
        <w:t>▲</w:t>
      </w:r>
      <w:r>
        <w:rPr>
          <w:rFonts w:hint="eastAsia" w:ascii="宋体" w:hAnsi="宋体" w:eastAsia="宋体" w:cs="宋体"/>
          <w:sz w:val="22"/>
          <w:szCs w:val="22"/>
          <w:highlight w:val="none"/>
          <w:lang w:val="en-US" w:eastAsia="zh-CN"/>
        </w:rPr>
        <w:t>2.招聘平台</w:t>
      </w:r>
      <w:r>
        <w:rPr>
          <w:rFonts w:hint="eastAsia" w:cs="宋体"/>
          <w:sz w:val="22"/>
          <w:szCs w:val="22"/>
          <w:highlight w:val="none"/>
          <w:lang w:val="en-US" w:eastAsia="zh-CN"/>
        </w:rPr>
        <w:t>及工具：</w:t>
      </w:r>
      <w:r>
        <w:rPr>
          <w:rFonts w:hint="eastAsia" w:ascii="宋体" w:hAnsi="宋体" w:eastAsia="宋体" w:cs="宋体"/>
          <w:sz w:val="22"/>
          <w:szCs w:val="22"/>
          <w:highlight w:val="none"/>
          <w:lang w:val="en-US" w:eastAsia="zh-CN"/>
        </w:rPr>
        <w:t>供应商提供的</w:t>
      </w:r>
      <w:r>
        <w:rPr>
          <w:rFonts w:hint="eastAsia" w:cs="宋体"/>
          <w:sz w:val="22"/>
          <w:szCs w:val="22"/>
          <w:highlight w:val="none"/>
          <w:lang w:val="en-US" w:eastAsia="zh-CN"/>
        </w:rPr>
        <w:t>自主运营的</w:t>
      </w:r>
      <w:r>
        <w:rPr>
          <w:rFonts w:hint="eastAsia" w:ascii="宋体" w:hAnsi="宋体" w:eastAsia="宋体" w:cs="宋体"/>
          <w:sz w:val="22"/>
          <w:szCs w:val="22"/>
          <w:highlight w:val="none"/>
          <w:lang w:val="en-US" w:eastAsia="zh-CN"/>
        </w:rPr>
        <w:t>招聘平台包括但不限于PC端、移动端、小程序、微信</w:t>
      </w:r>
      <w:r>
        <w:rPr>
          <w:rFonts w:hint="eastAsia" w:cs="宋体"/>
          <w:sz w:val="22"/>
          <w:szCs w:val="22"/>
          <w:highlight w:val="none"/>
          <w:lang w:val="en-US" w:eastAsia="zh-CN"/>
        </w:rPr>
        <w:t>公众号</w:t>
      </w:r>
      <w:r>
        <w:rPr>
          <w:rFonts w:hint="eastAsia" w:ascii="宋体" w:hAnsi="宋体" w:eastAsia="宋体" w:cs="宋体"/>
          <w:sz w:val="22"/>
          <w:szCs w:val="22"/>
          <w:highlight w:val="none"/>
          <w:lang w:val="en-US" w:eastAsia="zh-CN"/>
        </w:rPr>
        <w:t>等，平台功能包括但不限于职位发布、简历下载、面试邀约等基础服务。</w:t>
      </w:r>
      <w:r>
        <w:rPr>
          <w:rFonts w:hint="eastAsia" w:cs="宋体"/>
          <w:sz w:val="22"/>
          <w:szCs w:val="22"/>
          <w:highlight w:val="none"/>
          <w:lang w:val="en-US" w:eastAsia="zh-CN"/>
        </w:rPr>
        <w:t>具有</w:t>
      </w:r>
      <w:r>
        <w:rPr>
          <w:rFonts w:hint="eastAsia" w:ascii="宋体" w:hAnsi="宋体" w:eastAsia="宋体" w:cs="宋体"/>
          <w:sz w:val="22"/>
          <w:szCs w:val="22"/>
          <w:highlight w:val="none"/>
          <w:lang w:val="en-US" w:eastAsia="zh-CN"/>
        </w:rPr>
        <w:t>专业化定制化公告报名简历收集筛选工具:报名表定制投递资料内容，生成报名二维码，</w:t>
      </w:r>
      <w:r>
        <w:rPr>
          <w:rFonts w:hint="eastAsia" w:cs="宋体"/>
          <w:sz w:val="22"/>
          <w:szCs w:val="22"/>
          <w:highlight w:val="none"/>
          <w:lang w:val="en-US" w:eastAsia="zh-CN"/>
        </w:rPr>
        <w:t>应聘人员</w:t>
      </w:r>
      <w:r>
        <w:rPr>
          <w:rFonts w:hint="eastAsia" w:ascii="宋体" w:hAnsi="宋体" w:eastAsia="宋体" w:cs="宋体"/>
          <w:sz w:val="22"/>
          <w:szCs w:val="22"/>
          <w:highlight w:val="none"/>
          <w:lang w:val="en-US" w:eastAsia="zh-CN"/>
        </w:rPr>
        <w:t>扫</w:t>
      </w:r>
      <w:r>
        <w:rPr>
          <w:rFonts w:hint="eastAsia" w:cs="宋体"/>
          <w:sz w:val="22"/>
          <w:szCs w:val="22"/>
          <w:highlight w:val="none"/>
          <w:lang w:val="en-US" w:eastAsia="zh-CN"/>
        </w:rPr>
        <w:t>码</w:t>
      </w:r>
      <w:r>
        <w:rPr>
          <w:rFonts w:hint="eastAsia" w:ascii="宋体" w:hAnsi="宋体" w:eastAsia="宋体" w:cs="宋体"/>
          <w:sz w:val="22"/>
          <w:szCs w:val="22"/>
          <w:highlight w:val="none"/>
          <w:lang w:val="en-US" w:eastAsia="zh-CN"/>
        </w:rPr>
        <w:t>投简历；在线筛选简历，可同步通知应聘者；生成筛选资料表格；向合格候选人发送相关招聘通知。专业化定制化公告报名简历收集筛选工具（使用次数不限量）。</w:t>
      </w:r>
    </w:p>
    <w:p>
      <w:pPr>
        <w:pStyle w:val="6"/>
        <w:keepNext w:val="0"/>
        <w:keepLines w:val="0"/>
        <w:pageBreakBefore w:val="0"/>
        <w:widowControl w:val="0"/>
        <w:kinsoku/>
        <w:wordWrap/>
        <w:overflowPunct/>
        <w:topLinePunct w:val="0"/>
        <w:bidi w:val="0"/>
        <w:adjustRightInd/>
        <w:snapToGrid/>
        <w:spacing w:line="360" w:lineRule="auto"/>
        <w:ind w:left="0" w:leftChars="0" w:firstLine="221" w:firstLineChars="100"/>
        <w:textAlignment w:val="auto"/>
        <w:rPr>
          <w:rFonts w:hint="eastAsia" w:ascii="宋体" w:hAnsi="宋体" w:eastAsia="宋体" w:cs="宋体"/>
          <w:sz w:val="22"/>
          <w:szCs w:val="22"/>
          <w:highlight w:val="none"/>
          <w:lang w:val="en-US" w:eastAsia="zh-CN"/>
        </w:rPr>
      </w:pPr>
      <w:r>
        <w:rPr>
          <w:rFonts w:hint="default" w:ascii="宋体" w:hAnsi="宋体" w:eastAsia="宋体" w:cs="宋体"/>
          <w:b/>
          <w:bCs/>
          <w:sz w:val="22"/>
          <w:szCs w:val="22"/>
          <w:lang w:val="en-US" w:eastAsia="zh-CN"/>
        </w:rPr>
        <w:t>★</w:t>
      </w:r>
      <w:r>
        <w:rPr>
          <w:rFonts w:hint="eastAsia" w:ascii="宋体" w:hAnsi="宋体" w:eastAsia="宋体" w:cs="宋体"/>
          <w:sz w:val="22"/>
          <w:szCs w:val="22"/>
          <w:highlight w:val="none"/>
          <w:lang w:val="en-US" w:eastAsia="zh-CN"/>
        </w:rPr>
        <w:t>3.服务期限内基础岗位发布：不限量。</w:t>
      </w:r>
    </w:p>
    <w:p>
      <w:pPr>
        <w:pStyle w:val="6"/>
        <w:keepNext w:val="0"/>
        <w:keepLines w:val="0"/>
        <w:pageBreakBefore w:val="0"/>
        <w:widowControl w:val="0"/>
        <w:kinsoku/>
        <w:wordWrap/>
        <w:overflowPunct/>
        <w:topLinePunct w:val="0"/>
        <w:bidi w:val="0"/>
        <w:adjustRightInd/>
        <w:snapToGrid/>
        <w:spacing w:line="360" w:lineRule="auto"/>
        <w:ind w:left="0" w:leftChars="0" w:firstLine="221" w:firstLineChars="100"/>
        <w:textAlignment w:val="auto"/>
        <w:rPr>
          <w:rFonts w:hint="eastAsia" w:ascii="宋体" w:hAnsi="宋体" w:eastAsia="宋体" w:cs="宋体"/>
          <w:sz w:val="22"/>
          <w:szCs w:val="22"/>
          <w:highlight w:val="none"/>
          <w:lang w:val="en-US" w:eastAsia="zh-CN"/>
        </w:rPr>
      </w:pPr>
      <w:r>
        <w:rPr>
          <w:rFonts w:hint="default" w:ascii="宋体" w:hAnsi="宋体" w:eastAsia="宋体" w:cs="宋体"/>
          <w:b/>
          <w:bCs/>
          <w:sz w:val="22"/>
          <w:szCs w:val="22"/>
          <w:lang w:val="en-US" w:eastAsia="zh-CN"/>
        </w:rPr>
        <w:t>★</w:t>
      </w:r>
      <w:r>
        <w:rPr>
          <w:rFonts w:hint="eastAsia" w:ascii="宋体" w:hAnsi="宋体" w:eastAsia="宋体" w:cs="宋体"/>
          <w:sz w:val="22"/>
          <w:szCs w:val="22"/>
          <w:highlight w:val="none"/>
          <w:lang w:val="en-US" w:eastAsia="zh-CN"/>
        </w:rPr>
        <w:t>4.简历下载：1000份以上/年。(发布岗位人才自已投递的简历下载不计算在内)</w:t>
      </w:r>
    </w:p>
    <w:p>
      <w:pPr>
        <w:pStyle w:val="6"/>
        <w:keepNext w:val="0"/>
        <w:keepLines w:val="0"/>
        <w:pageBreakBefore w:val="0"/>
        <w:widowControl w:val="0"/>
        <w:kinsoku/>
        <w:wordWrap/>
        <w:overflowPunct/>
        <w:topLinePunct w:val="0"/>
        <w:bidi w:val="0"/>
        <w:adjustRightInd/>
        <w:snapToGrid/>
        <w:spacing w:line="360" w:lineRule="auto"/>
        <w:ind w:left="0" w:leftChars="0" w:firstLine="221" w:firstLineChars="100"/>
        <w:textAlignment w:val="auto"/>
        <w:rPr>
          <w:rFonts w:hint="eastAsia" w:ascii="宋体" w:hAnsi="宋体" w:eastAsia="宋体" w:cs="宋体"/>
          <w:sz w:val="22"/>
          <w:szCs w:val="22"/>
          <w:highlight w:val="none"/>
          <w:lang w:val="en-US" w:eastAsia="zh-CN"/>
        </w:rPr>
      </w:pPr>
      <w:r>
        <w:rPr>
          <w:rFonts w:hint="default" w:ascii="宋体" w:hAnsi="宋体" w:eastAsia="宋体" w:cs="宋体"/>
          <w:b/>
          <w:bCs/>
          <w:sz w:val="22"/>
          <w:szCs w:val="22"/>
          <w:lang w:val="en-US" w:eastAsia="zh-CN"/>
        </w:rPr>
        <w:t>★</w:t>
      </w:r>
      <w:r>
        <w:rPr>
          <w:rFonts w:hint="eastAsia" w:cs="宋体"/>
          <w:sz w:val="22"/>
          <w:szCs w:val="22"/>
          <w:highlight w:val="none"/>
          <w:lang w:val="en-US" w:eastAsia="zh-CN"/>
        </w:rPr>
        <w:t>5</w:t>
      </w:r>
      <w:r>
        <w:rPr>
          <w:rFonts w:hint="eastAsia" w:ascii="宋体" w:hAnsi="宋体" w:eastAsia="宋体" w:cs="宋体"/>
          <w:sz w:val="22"/>
          <w:szCs w:val="22"/>
          <w:highlight w:val="none"/>
          <w:lang w:val="en-US" w:eastAsia="zh-CN"/>
        </w:rPr>
        <w:t>.短信通知：3000</w:t>
      </w:r>
      <w:r>
        <w:rPr>
          <w:rFonts w:hint="eastAsia" w:cs="宋体"/>
          <w:sz w:val="22"/>
          <w:szCs w:val="22"/>
          <w:highlight w:val="none"/>
          <w:lang w:val="en-US" w:eastAsia="zh-CN"/>
        </w:rPr>
        <w:t>条</w:t>
      </w:r>
      <w:r>
        <w:rPr>
          <w:rFonts w:hint="eastAsia" w:ascii="宋体" w:hAnsi="宋体" w:eastAsia="宋体" w:cs="宋体"/>
          <w:sz w:val="22"/>
          <w:szCs w:val="22"/>
          <w:highlight w:val="none"/>
          <w:lang w:val="en-US" w:eastAsia="zh-CN"/>
        </w:rPr>
        <w:t>以上/年。(可定制短信内容用于通知应聘者修改应聘资料、通知面试等)</w:t>
      </w:r>
    </w:p>
    <w:p>
      <w:pPr>
        <w:pStyle w:val="6"/>
        <w:keepNext w:val="0"/>
        <w:keepLines w:val="0"/>
        <w:pageBreakBefore w:val="0"/>
        <w:widowControl w:val="0"/>
        <w:kinsoku/>
        <w:wordWrap/>
        <w:overflowPunct/>
        <w:topLinePunct w:val="0"/>
        <w:bidi w:val="0"/>
        <w:adjustRightInd/>
        <w:snapToGrid/>
        <w:spacing w:line="360" w:lineRule="auto"/>
        <w:ind w:left="0" w:leftChars="0" w:firstLine="221" w:firstLineChars="100"/>
        <w:textAlignment w:val="auto"/>
        <w:rPr>
          <w:rFonts w:hint="eastAsia" w:ascii="宋体" w:hAnsi="宋体" w:eastAsia="宋体" w:cs="宋体"/>
          <w:sz w:val="22"/>
          <w:szCs w:val="22"/>
          <w:highlight w:val="none"/>
          <w:lang w:val="en-US" w:eastAsia="zh-CN"/>
        </w:rPr>
      </w:pPr>
      <w:r>
        <w:rPr>
          <w:rFonts w:hint="default" w:ascii="宋体" w:hAnsi="宋体" w:eastAsia="宋体" w:cs="宋体"/>
          <w:b/>
          <w:bCs/>
          <w:sz w:val="22"/>
          <w:szCs w:val="22"/>
          <w:lang w:val="en-US" w:eastAsia="zh-CN"/>
        </w:rPr>
        <w:t>★</w:t>
      </w:r>
      <w:r>
        <w:rPr>
          <w:rFonts w:hint="eastAsia" w:cs="宋体"/>
          <w:sz w:val="22"/>
          <w:szCs w:val="22"/>
          <w:highlight w:val="none"/>
          <w:lang w:val="en-US" w:eastAsia="zh-CN"/>
        </w:rPr>
        <w:t>6</w:t>
      </w:r>
      <w:r>
        <w:rPr>
          <w:rFonts w:hint="eastAsia" w:ascii="宋体" w:hAnsi="宋体" w:eastAsia="宋体" w:cs="宋体"/>
          <w:sz w:val="22"/>
          <w:szCs w:val="22"/>
          <w:highlight w:val="none"/>
          <w:lang w:val="en-US" w:eastAsia="zh-CN"/>
        </w:rPr>
        <w:t>.</w:t>
      </w:r>
      <w:r>
        <w:rPr>
          <w:rFonts w:hint="eastAsia" w:cs="宋体"/>
          <w:sz w:val="22"/>
          <w:szCs w:val="22"/>
          <w:highlight w:val="none"/>
          <w:lang w:val="en-US" w:eastAsia="zh-CN"/>
        </w:rPr>
        <w:t>PC端</w:t>
      </w:r>
      <w:r>
        <w:rPr>
          <w:rFonts w:hint="eastAsia" w:ascii="宋体" w:hAnsi="宋体" w:eastAsia="宋体" w:cs="宋体"/>
          <w:sz w:val="22"/>
          <w:szCs w:val="22"/>
          <w:highlight w:val="none"/>
          <w:lang w:val="en-US" w:eastAsia="zh-CN"/>
        </w:rPr>
        <w:t>官网推广公告：次数不限（自定），</w:t>
      </w:r>
      <w:r>
        <w:rPr>
          <w:rFonts w:hint="eastAsia" w:cs="宋体"/>
          <w:sz w:val="22"/>
          <w:szCs w:val="22"/>
          <w:highlight w:val="none"/>
          <w:lang w:val="en-US" w:eastAsia="zh-CN"/>
        </w:rPr>
        <w:t>服务期内累计推广天数</w:t>
      </w:r>
      <w:r>
        <w:rPr>
          <w:rFonts w:hint="eastAsia" w:ascii="宋体" w:hAnsi="宋体" w:eastAsia="宋体" w:cs="宋体"/>
          <w:sz w:val="22"/>
          <w:szCs w:val="22"/>
          <w:highlight w:val="none"/>
          <w:lang w:val="en-US" w:eastAsia="zh-CN"/>
        </w:rPr>
        <w:t>不少于120天。</w:t>
      </w:r>
    </w:p>
    <w:p>
      <w:pPr>
        <w:pStyle w:val="6"/>
        <w:keepNext w:val="0"/>
        <w:keepLines w:val="0"/>
        <w:pageBreakBefore w:val="0"/>
        <w:kinsoku/>
        <w:wordWrap/>
        <w:overflowPunct/>
        <w:topLinePunct w:val="0"/>
        <w:bidi w:val="0"/>
        <w:adjustRightInd/>
        <w:snapToGrid/>
        <w:spacing w:line="360" w:lineRule="auto"/>
        <w:ind w:left="0" w:leftChars="0" w:firstLine="221" w:firstLineChars="100"/>
        <w:textAlignment w:val="auto"/>
        <w:rPr>
          <w:rFonts w:hint="default" w:ascii="宋体" w:hAnsi="宋体" w:eastAsia="宋体" w:cs="宋体"/>
          <w:b/>
          <w:bCs/>
          <w:sz w:val="22"/>
          <w:szCs w:val="22"/>
          <w:lang w:val="en-US" w:eastAsia="zh-CN"/>
        </w:rPr>
      </w:pPr>
      <w:bookmarkStart w:id="3" w:name="OLE_LINK2"/>
      <w:r>
        <w:rPr>
          <w:rFonts w:hint="default" w:ascii="宋体" w:hAnsi="宋体" w:eastAsia="宋体" w:cs="宋体"/>
          <w:b/>
          <w:bCs/>
          <w:sz w:val="22"/>
          <w:szCs w:val="22"/>
          <w:lang w:val="en-US" w:eastAsia="zh-CN"/>
        </w:rPr>
        <w:t>★</w:t>
      </w:r>
      <w:r>
        <w:rPr>
          <w:rFonts w:hint="eastAsia" w:cs="宋体"/>
          <w:sz w:val="22"/>
          <w:szCs w:val="22"/>
          <w:highlight w:val="none"/>
          <w:lang w:val="en-US" w:eastAsia="zh-CN"/>
        </w:rPr>
        <w:t>7</w:t>
      </w:r>
      <w:r>
        <w:rPr>
          <w:rFonts w:hint="eastAsia" w:ascii="宋体" w:hAnsi="宋体" w:eastAsia="宋体" w:cs="宋体"/>
          <w:sz w:val="22"/>
          <w:szCs w:val="22"/>
          <w:highlight w:val="none"/>
          <w:lang w:val="en-US" w:eastAsia="zh-CN"/>
        </w:rPr>
        <w:t>.</w:t>
      </w:r>
      <w:r>
        <w:rPr>
          <w:rFonts w:hint="eastAsia" w:cs="宋体"/>
          <w:sz w:val="22"/>
          <w:szCs w:val="22"/>
          <w:highlight w:val="none"/>
          <w:lang w:val="en-US" w:eastAsia="zh-CN"/>
        </w:rPr>
        <w:t>微信</w:t>
      </w:r>
      <w:r>
        <w:rPr>
          <w:rFonts w:hint="eastAsia" w:ascii="宋体" w:hAnsi="宋体" w:eastAsia="宋体" w:cs="宋体"/>
          <w:sz w:val="22"/>
          <w:szCs w:val="22"/>
          <w:highlight w:val="none"/>
          <w:lang w:val="en-US" w:eastAsia="zh-CN"/>
        </w:rPr>
        <w:t>公众号推广公告：一年至少4次，其中专属头条推广公告一年不少于2次。</w:t>
      </w:r>
    </w:p>
    <w:p>
      <w:pPr>
        <w:pStyle w:val="6"/>
        <w:keepNext w:val="0"/>
        <w:keepLines w:val="0"/>
        <w:pageBreakBefore w:val="0"/>
        <w:kinsoku/>
        <w:wordWrap/>
        <w:overflowPunct/>
        <w:topLinePunct w:val="0"/>
        <w:bidi w:val="0"/>
        <w:adjustRightInd/>
        <w:snapToGrid/>
        <w:spacing w:line="360" w:lineRule="auto"/>
        <w:ind w:left="0" w:leftChars="0" w:firstLine="221" w:firstLineChars="100"/>
        <w:textAlignment w:val="auto"/>
        <w:rPr>
          <w:rFonts w:hint="default" w:ascii="宋体" w:hAnsi="宋体" w:eastAsia="宋体" w:cs="宋体"/>
          <w:b/>
          <w:bCs/>
          <w:sz w:val="22"/>
          <w:szCs w:val="22"/>
          <w:lang w:val="en-US" w:eastAsia="zh-CN"/>
        </w:rPr>
      </w:pPr>
      <w:r>
        <w:rPr>
          <w:rFonts w:hint="eastAsia" w:hAnsi="宋体" w:cs="宋体"/>
          <w:b/>
          <w:bCs w:val="0"/>
          <w:color w:val="auto"/>
          <w:sz w:val="22"/>
          <w:szCs w:val="22"/>
          <w:lang w:val="en-US" w:eastAsia="zh-CN"/>
        </w:rPr>
        <w:t>（上述第3至</w:t>
      </w:r>
      <w:r>
        <w:rPr>
          <w:rFonts w:hint="eastAsia" w:cs="宋体"/>
          <w:b/>
          <w:bCs w:val="0"/>
          <w:color w:val="auto"/>
          <w:sz w:val="22"/>
          <w:szCs w:val="22"/>
          <w:lang w:val="en-US" w:eastAsia="zh-CN"/>
        </w:rPr>
        <w:t>7</w:t>
      </w:r>
      <w:r>
        <w:rPr>
          <w:rFonts w:hint="eastAsia" w:hAnsi="宋体" w:cs="宋体"/>
          <w:b/>
          <w:bCs w:val="0"/>
          <w:color w:val="auto"/>
          <w:sz w:val="22"/>
          <w:szCs w:val="22"/>
          <w:lang w:val="en-US" w:eastAsia="zh-CN"/>
        </w:rPr>
        <w:t>点，投标文件中须提供承诺函并加盖投标人公章，格式自拟，内容应当涵盖本项所有内容）</w:t>
      </w:r>
    </w:p>
    <w:p>
      <w:pPr>
        <w:pStyle w:val="6"/>
        <w:keepNext w:val="0"/>
        <w:keepLines w:val="0"/>
        <w:pageBreakBefore w:val="0"/>
        <w:kinsoku/>
        <w:wordWrap/>
        <w:overflowPunct/>
        <w:topLinePunct w:val="0"/>
        <w:bidi w:val="0"/>
        <w:adjustRightInd/>
        <w:snapToGrid/>
        <w:spacing w:line="360" w:lineRule="auto"/>
        <w:ind w:left="0" w:leftChars="0" w:firstLine="221" w:firstLineChars="100"/>
        <w:textAlignment w:val="auto"/>
        <w:rPr>
          <w:rFonts w:hint="default" w:ascii="宋体" w:hAnsi="宋体" w:eastAsia="宋体" w:cs="宋体"/>
          <w:b/>
          <w:bCs/>
          <w:sz w:val="22"/>
          <w:szCs w:val="22"/>
          <w:lang w:val="en-US" w:eastAsia="zh-CN"/>
        </w:rPr>
      </w:pPr>
      <w:r>
        <w:rPr>
          <w:rFonts w:hint="default" w:ascii="宋体" w:hAnsi="宋体" w:eastAsia="宋体" w:cs="宋体"/>
          <w:b/>
          <w:bCs/>
          <w:sz w:val="22"/>
          <w:szCs w:val="22"/>
          <w:lang w:val="en-US" w:eastAsia="zh-CN"/>
        </w:rPr>
        <w:t>★</w:t>
      </w:r>
      <w:r>
        <w:rPr>
          <w:rFonts w:hint="eastAsia" w:cs="宋体"/>
          <w:sz w:val="22"/>
          <w:szCs w:val="22"/>
          <w:highlight w:val="none"/>
          <w:lang w:val="en-US" w:eastAsia="zh-CN"/>
        </w:rPr>
        <w:t>8</w:t>
      </w:r>
      <w:r>
        <w:rPr>
          <w:rFonts w:hint="eastAsia" w:ascii="宋体" w:hAnsi="宋体" w:eastAsia="宋体" w:cs="宋体"/>
          <w:sz w:val="22"/>
          <w:szCs w:val="22"/>
          <w:highlight w:val="none"/>
          <w:lang w:val="en-US" w:eastAsia="zh-CN"/>
        </w:rPr>
        <w:t>.微信公众号</w:t>
      </w:r>
      <w:r>
        <w:rPr>
          <w:rFonts w:hint="eastAsia" w:cs="宋体"/>
          <w:sz w:val="22"/>
          <w:szCs w:val="22"/>
          <w:highlight w:val="none"/>
          <w:lang w:val="en-US" w:eastAsia="zh-CN"/>
        </w:rPr>
        <w:t>关注人数</w:t>
      </w:r>
      <w:r>
        <w:rPr>
          <w:rFonts w:hint="eastAsia" w:ascii="宋体" w:hAnsi="宋体" w:eastAsia="宋体" w:cs="宋体"/>
          <w:sz w:val="22"/>
          <w:szCs w:val="22"/>
          <w:highlight w:val="none"/>
          <w:lang w:val="en-US" w:eastAsia="zh-CN"/>
        </w:rPr>
        <w:t>不低于50万。</w:t>
      </w:r>
      <w:r>
        <w:rPr>
          <w:rFonts w:hint="eastAsia" w:ascii="宋体" w:hAnsi="宋体" w:eastAsia="宋体" w:cs="宋体"/>
          <w:b/>
          <w:bCs/>
          <w:sz w:val="22"/>
          <w:szCs w:val="22"/>
          <w:highlight w:val="none"/>
          <w:lang w:val="en-US" w:eastAsia="zh-CN"/>
        </w:rPr>
        <w:t>（</w:t>
      </w:r>
      <w:r>
        <w:rPr>
          <w:rFonts w:hint="eastAsia" w:cs="宋体"/>
          <w:b/>
          <w:bCs/>
          <w:sz w:val="22"/>
          <w:szCs w:val="22"/>
          <w:highlight w:val="none"/>
          <w:lang w:val="en-US" w:eastAsia="zh-CN"/>
        </w:rPr>
        <w:t>投标文件中须</w:t>
      </w:r>
      <w:r>
        <w:rPr>
          <w:rFonts w:hint="eastAsia" w:ascii="宋体" w:hAnsi="宋体" w:eastAsia="宋体" w:cs="宋体"/>
          <w:b/>
          <w:bCs/>
          <w:sz w:val="22"/>
          <w:szCs w:val="22"/>
          <w:highlight w:val="none"/>
          <w:lang w:val="en-US" w:eastAsia="zh-CN"/>
        </w:rPr>
        <w:t>提供相关证明材料</w:t>
      </w:r>
      <w:r>
        <w:rPr>
          <w:rFonts w:hint="eastAsia" w:cs="宋体"/>
          <w:b/>
          <w:bCs/>
          <w:sz w:val="22"/>
          <w:szCs w:val="22"/>
          <w:highlight w:val="none"/>
          <w:lang w:val="en-US" w:eastAsia="zh-CN"/>
        </w:rPr>
        <w:t>，格式自拟，内容应当涵盖本项所有内容</w:t>
      </w:r>
      <w:r>
        <w:rPr>
          <w:rFonts w:hint="eastAsia" w:ascii="宋体" w:hAnsi="宋体" w:eastAsia="宋体" w:cs="宋体"/>
          <w:b/>
          <w:bCs/>
          <w:sz w:val="22"/>
          <w:szCs w:val="22"/>
          <w:highlight w:val="none"/>
          <w:lang w:val="en-US" w:eastAsia="zh-CN"/>
        </w:rPr>
        <w:t>）</w:t>
      </w:r>
    </w:p>
    <w:p>
      <w:pPr>
        <w:pStyle w:val="6"/>
        <w:keepNext w:val="0"/>
        <w:keepLines w:val="0"/>
        <w:pageBreakBefore w:val="0"/>
        <w:widowControl w:val="0"/>
        <w:kinsoku/>
        <w:wordWrap/>
        <w:overflowPunct/>
        <w:topLinePunct w:val="0"/>
        <w:bidi w:val="0"/>
        <w:adjustRightInd/>
        <w:snapToGrid/>
        <w:spacing w:line="360" w:lineRule="auto"/>
        <w:ind w:left="0" w:leftChars="0" w:firstLine="221" w:firstLineChars="100"/>
        <w:textAlignment w:val="auto"/>
        <w:rPr>
          <w:rFonts w:hint="default" w:ascii="宋体" w:hAnsi="宋体" w:eastAsia="宋体" w:cs="宋体"/>
          <w:sz w:val="22"/>
          <w:szCs w:val="22"/>
          <w:highlight w:val="none"/>
          <w:lang w:val="en-US" w:eastAsia="zh-CN"/>
        </w:rPr>
      </w:pPr>
      <w:r>
        <w:rPr>
          <w:rFonts w:hint="default" w:ascii="宋体" w:hAnsi="宋体" w:eastAsia="宋体" w:cs="宋体"/>
          <w:b/>
          <w:bCs/>
          <w:sz w:val="22"/>
          <w:szCs w:val="22"/>
          <w:lang w:val="en-US" w:eastAsia="zh-CN"/>
        </w:rPr>
        <w:t>▲</w:t>
      </w:r>
      <w:r>
        <w:rPr>
          <w:rFonts w:hint="eastAsia" w:cs="宋体"/>
          <w:b w:val="0"/>
          <w:bCs w:val="0"/>
          <w:sz w:val="22"/>
          <w:szCs w:val="22"/>
          <w:lang w:val="en-US" w:eastAsia="zh-CN"/>
        </w:rPr>
        <w:t>9.</w:t>
      </w:r>
      <w:r>
        <w:rPr>
          <w:rFonts w:hint="eastAsia" w:cs="宋体"/>
          <w:sz w:val="22"/>
          <w:szCs w:val="22"/>
          <w:highlight w:val="none"/>
          <w:lang w:val="en-US" w:eastAsia="zh-CN"/>
        </w:rPr>
        <w:t>PC端</w:t>
      </w:r>
      <w:r>
        <w:rPr>
          <w:rFonts w:hint="eastAsia" w:ascii="宋体" w:hAnsi="宋体" w:eastAsia="宋体" w:cs="宋体"/>
          <w:sz w:val="22"/>
          <w:szCs w:val="22"/>
          <w:highlight w:val="none"/>
          <w:lang w:val="en-US" w:eastAsia="zh-CN"/>
        </w:rPr>
        <w:t>官网推广</w:t>
      </w:r>
      <w:r>
        <w:rPr>
          <w:rFonts w:hint="eastAsia" w:cs="宋体"/>
          <w:sz w:val="22"/>
          <w:szCs w:val="22"/>
          <w:highlight w:val="none"/>
          <w:lang w:val="en-US" w:eastAsia="zh-CN"/>
        </w:rPr>
        <w:t>公告</w:t>
      </w:r>
      <w:r>
        <w:rPr>
          <w:rFonts w:hint="eastAsia" w:ascii="宋体" w:hAnsi="宋体" w:eastAsia="宋体" w:cs="宋体"/>
          <w:sz w:val="22"/>
          <w:szCs w:val="22"/>
          <w:highlight w:val="none"/>
          <w:lang w:val="en-US" w:eastAsia="zh-CN"/>
        </w:rPr>
        <w:t>可挂政府公告外链，</w:t>
      </w:r>
      <w:r>
        <w:rPr>
          <w:rFonts w:hint="eastAsia" w:cs="宋体"/>
          <w:sz w:val="22"/>
          <w:szCs w:val="22"/>
          <w:highlight w:val="none"/>
          <w:lang w:val="en-US" w:eastAsia="zh-CN"/>
        </w:rPr>
        <w:t>推广天数可根据采购人需求适当增加。</w:t>
      </w:r>
      <w:bookmarkEnd w:id="3"/>
    </w:p>
    <w:p>
      <w:pPr>
        <w:pStyle w:val="6"/>
        <w:keepNext w:val="0"/>
        <w:keepLines w:val="0"/>
        <w:pageBreakBefore w:val="0"/>
        <w:widowControl w:val="0"/>
        <w:kinsoku/>
        <w:wordWrap/>
        <w:overflowPunct/>
        <w:topLinePunct w:val="0"/>
        <w:bidi w:val="0"/>
        <w:adjustRightInd/>
        <w:snapToGrid/>
        <w:spacing w:line="360" w:lineRule="auto"/>
        <w:ind w:left="0" w:leftChars="0" w:firstLine="221" w:firstLineChars="100"/>
        <w:textAlignment w:val="auto"/>
        <w:rPr>
          <w:rFonts w:hint="default" w:ascii="宋体" w:hAnsi="宋体" w:eastAsia="宋体" w:cs="宋体"/>
          <w:sz w:val="22"/>
          <w:szCs w:val="22"/>
          <w:highlight w:val="none"/>
          <w:lang w:val="en-US" w:eastAsia="zh-CN"/>
        </w:rPr>
      </w:pPr>
      <w:r>
        <w:rPr>
          <w:rFonts w:hint="default" w:ascii="宋体" w:hAnsi="宋体" w:eastAsia="宋体" w:cs="宋体"/>
          <w:b/>
          <w:bCs/>
          <w:sz w:val="22"/>
          <w:szCs w:val="22"/>
          <w:lang w:val="en-US" w:eastAsia="zh-CN"/>
        </w:rPr>
        <w:t>▲</w:t>
      </w:r>
      <w:r>
        <w:rPr>
          <w:rFonts w:hint="eastAsia" w:cs="宋体"/>
          <w:b w:val="0"/>
          <w:bCs w:val="0"/>
          <w:sz w:val="22"/>
          <w:szCs w:val="22"/>
          <w:lang w:val="en-US" w:eastAsia="zh-CN"/>
        </w:rPr>
        <w:t>10.</w:t>
      </w:r>
      <w:r>
        <w:rPr>
          <w:rFonts w:hint="eastAsia" w:cs="宋体"/>
          <w:sz w:val="22"/>
          <w:szCs w:val="22"/>
          <w:highlight w:val="none"/>
          <w:lang w:val="en-US" w:eastAsia="zh-CN"/>
        </w:rPr>
        <w:t>微信</w:t>
      </w:r>
      <w:r>
        <w:rPr>
          <w:rFonts w:hint="eastAsia" w:ascii="宋体" w:hAnsi="宋体" w:eastAsia="宋体" w:cs="宋体"/>
          <w:sz w:val="22"/>
          <w:szCs w:val="22"/>
          <w:highlight w:val="none"/>
          <w:lang w:val="en-US" w:eastAsia="zh-CN"/>
        </w:rPr>
        <w:t>公众号推广公告可挂政府公告外链，</w:t>
      </w:r>
      <w:r>
        <w:rPr>
          <w:rFonts w:hint="eastAsia" w:cs="宋体"/>
          <w:sz w:val="22"/>
          <w:szCs w:val="22"/>
          <w:highlight w:val="none"/>
          <w:lang w:val="en-US" w:eastAsia="zh-CN"/>
        </w:rPr>
        <w:t>推广天数可根据采购人需求适当增加。</w:t>
      </w:r>
    </w:p>
    <w:p>
      <w:pPr>
        <w:pStyle w:val="6"/>
        <w:keepNext w:val="0"/>
        <w:keepLines w:val="0"/>
        <w:pageBreakBefore w:val="0"/>
        <w:widowControl w:val="0"/>
        <w:kinsoku/>
        <w:wordWrap/>
        <w:overflowPunct/>
        <w:topLinePunct w:val="0"/>
        <w:bidi w:val="0"/>
        <w:adjustRightInd/>
        <w:snapToGrid/>
        <w:spacing w:line="360"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w:t>
      </w:r>
      <w:r>
        <w:rPr>
          <w:rFonts w:hint="eastAsia" w:cs="宋体"/>
          <w:sz w:val="22"/>
          <w:szCs w:val="22"/>
          <w:highlight w:val="none"/>
          <w:lang w:val="en-US" w:eastAsia="zh-CN"/>
        </w:rPr>
        <w:t>1</w:t>
      </w:r>
      <w:r>
        <w:rPr>
          <w:rFonts w:hint="eastAsia" w:ascii="宋体" w:hAnsi="宋体" w:eastAsia="宋体" w:cs="宋体"/>
          <w:sz w:val="22"/>
          <w:szCs w:val="22"/>
          <w:highlight w:val="none"/>
          <w:lang w:val="en-US" w:eastAsia="zh-CN"/>
        </w:rPr>
        <w:t>.提供</w:t>
      </w:r>
      <w:r>
        <w:rPr>
          <w:rFonts w:hint="eastAsia" w:cs="宋体"/>
          <w:sz w:val="22"/>
          <w:szCs w:val="22"/>
          <w:highlight w:val="none"/>
          <w:lang w:val="en-US" w:eastAsia="zh-CN"/>
        </w:rPr>
        <w:t>专人</w:t>
      </w:r>
      <w:r>
        <w:rPr>
          <w:rFonts w:hint="eastAsia" w:ascii="宋体" w:hAnsi="宋体" w:eastAsia="宋体" w:cs="宋体"/>
          <w:sz w:val="22"/>
          <w:szCs w:val="22"/>
          <w:highlight w:val="none"/>
          <w:lang w:val="en-US" w:eastAsia="zh-CN"/>
        </w:rPr>
        <w:t>对接招聘服务。</w:t>
      </w:r>
    </w:p>
    <w:p>
      <w:pPr>
        <w:pStyle w:val="6"/>
        <w:keepNext w:val="0"/>
        <w:keepLines w:val="0"/>
        <w:pageBreakBefore w:val="0"/>
        <w:widowControl w:val="0"/>
        <w:kinsoku/>
        <w:wordWrap/>
        <w:overflowPunct/>
        <w:topLinePunct w:val="0"/>
        <w:bidi w:val="0"/>
        <w:adjustRightInd/>
        <w:snapToGrid/>
        <w:spacing w:line="360" w:lineRule="auto"/>
        <w:ind w:firstLine="440" w:firstLineChars="200"/>
        <w:textAlignment w:val="auto"/>
        <w:rPr>
          <w:rFonts w:hint="default" w:ascii="宋体" w:hAnsi="宋体" w:eastAsia="宋体" w:cs="宋体"/>
          <w:b w:val="0"/>
          <w:bCs w:val="0"/>
          <w:kern w:val="2"/>
          <w:sz w:val="22"/>
          <w:szCs w:val="22"/>
          <w:highlight w:val="none"/>
          <w:lang w:val="en-US" w:eastAsia="zh-CN" w:bidi="ar-SA"/>
        </w:rPr>
      </w:pPr>
      <w:r>
        <w:rPr>
          <w:rFonts w:hint="eastAsia" w:ascii="宋体" w:hAnsi="宋体" w:eastAsia="宋体" w:cs="宋体"/>
          <w:sz w:val="22"/>
          <w:szCs w:val="22"/>
          <w:highlight w:val="none"/>
          <w:lang w:val="en-US" w:eastAsia="zh-CN"/>
        </w:rPr>
        <w:t>1</w:t>
      </w:r>
      <w:r>
        <w:rPr>
          <w:rFonts w:hint="eastAsia" w:cs="宋体"/>
          <w:sz w:val="22"/>
          <w:szCs w:val="22"/>
          <w:highlight w:val="none"/>
          <w:lang w:val="en-US" w:eastAsia="zh-CN"/>
        </w:rPr>
        <w:t>2</w:t>
      </w:r>
      <w:r>
        <w:rPr>
          <w:rFonts w:hint="eastAsia" w:ascii="宋体" w:hAnsi="宋体" w:eastAsia="宋体" w:cs="宋体"/>
          <w:sz w:val="22"/>
          <w:szCs w:val="22"/>
          <w:highlight w:val="none"/>
          <w:lang w:val="en-US" w:eastAsia="zh-CN"/>
        </w:rPr>
        <w:t>.如有其他招聘或人力资源管理的相关增值服务。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三、商务要求</w:t>
      </w:r>
    </w:p>
    <w:p>
      <w:pPr>
        <w:pStyle w:val="6"/>
        <w:keepNext w:val="0"/>
        <w:keepLines w:val="0"/>
        <w:pageBreakBefore w:val="0"/>
        <w:widowControl w:val="0"/>
        <w:kinsoku/>
        <w:wordWrap/>
        <w:overflowPunct/>
        <w:topLinePunct w:val="0"/>
        <w:bidi w:val="0"/>
        <w:adjustRightInd/>
        <w:snapToGrid/>
        <w:spacing w:line="360" w:lineRule="auto"/>
        <w:ind w:firstLine="440" w:firstLineChars="200"/>
        <w:textAlignment w:val="auto"/>
        <w:rPr>
          <w:rFonts w:hint="default" w:ascii="宋体" w:hAnsi="宋体" w:eastAsia="宋体" w:cs="宋体"/>
          <w:sz w:val="22"/>
          <w:szCs w:val="22"/>
          <w:highlight w:val="none"/>
          <w:lang w:val="en-US" w:eastAsia="zh-CN"/>
        </w:rPr>
      </w:pPr>
      <w:r>
        <w:rPr>
          <w:rFonts w:hint="default" w:ascii="宋体" w:hAnsi="宋体" w:eastAsia="宋体" w:cs="宋体"/>
          <w:sz w:val="22"/>
          <w:szCs w:val="22"/>
          <w:highlight w:val="none"/>
          <w:lang w:val="en-US" w:eastAsia="zh-CN"/>
        </w:rPr>
        <w:t>1.标的提供的时间：自合同签订之日起二年。</w:t>
      </w:r>
    </w:p>
    <w:p>
      <w:pPr>
        <w:pStyle w:val="6"/>
        <w:keepNext w:val="0"/>
        <w:keepLines w:val="0"/>
        <w:pageBreakBefore w:val="0"/>
        <w:widowControl w:val="0"/>
        <w:kinsoku/>
        <w:wordWrap/>
        <w:overflowPunct/>
        <w:topLinePunct w:val="0"/>
        <w:bidi w:val="0"/>
        <w:adjustRightInd/>
        <w:snapToGrid/>
        <w:spacing w:line="360" w:lineRule="auto"/>
        <w:ind w:firstLine="440" w:firstLineChars="200"/>
        <w:textAlignment w:val="auto"/>
        <w:rPr>
          <w:rFonts w:hint="eastAsia" w:ascii="宋体" w:hAnsi="宋体" w:eastAsia="宋体" w:cs="宋体"/>
          <w:sz w:val="22"/>
          <w:szCs w:val="22"/>
          <w:highlight w:val="none"/>
          <w:lang w:val="en-US" w:eastAsia="zh-CN"/>
        </w:rPr>
      </w:pPr>
      <w:r>
        <w:rPr>
          <w:rFonts w:hint="default" w:ascii="宋体" w:hAnsi="宋体" w:eastAsia="宋体" w:cs="宋体"/>
          <w:sz w:val="22"/>
          <w:szCs w:val="22"/>
          <w:highlight w:val="none"/>
          <w:lang w:val="en-US" w:eastAsia="zh-CN"/>
        </w:rPr>
        <w:t>2.标的提供的地点：采购人指定地点</w:t>
      </w:r>
      <w:r>
        <w:rPr>
          <w:rFonts w:hint="eastAsia" w:ascii="宋体" w:hAnsi="宋体" w:eastAsia="宋体" w:cs="宋体"/>
          <w:sz w:val="22"/>
          <w:szCs w:val="22"/>
          <w:highlight w:val="none"/>
          <w:lang w:val="en-US" w:eastAsia="zh-CN"/>
        </w:rPr>
        <w:t>。</w:t>
      </w:r>
    </w:p>
    <w:p>
      <w:pPr>
        <w:pStyle w:val="6"/>
        <w:keepNext w:val="0"/>
        <w:keepLines w:val="0"/>
        <w:pageBreakBefore w:val="0"/>
        <w:kinsoku/>
        <w:wordWrap/>
        <w:overflowPunct/>
        <w:topLinePunct w:val="0"/>
        <w:bidi w:val="0"/>
        <w:adjustRightInd/>
        <w:snapToGrid/>
        <w:spacing w:line="360"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3.付款方式：按一年周期付款，签订合同后，收到供应商开具的合法有效的增值税普通发票</w:t>
      </w:r>
      <w:r>
        <w:rPr>
          <w:rFonts w:hint="eastAsia" w:cs="宋体"/>
          <w:sz w:val="22"/>
          <w:szCs w:val="22"/>
          <w:highlight w:val="none"/>
          <w:lang w:val="en-US" w:eastAsia="zh-CN"/>
        </w:rPr>
        <w:t>，经核对无误</w:t>
      </w:r>
      <w:r>
        <w:rPr>
          <w:rFonts w:hint="eastAsia" w:ascii="宋体" w:hAnsi="宋体" w:eastAsia="宋体" w:cs="宋体"/>
          <w:sz w:val="22"/>
          <w:szCs w:val="22"/>
          <w:highlight w:val="none"/>
          <w:lang w:val="en-US" w:eastAsia="zh-CN"/>
        </w:rPr>
        <w:t>后的60个日历日内，采购人将合同金额的50%支付给供应商，合同签订满一年后，经甲方确认乙方正常履约后60个日历日，采购人将合同金额的剩余50%支付给供应商。供应商逾期提供发票的，采购人有权顺延支付费用并不承担任何责任。采购人顺延支付费用的，供应商应按合同约定在服务期限内提供服务，不得因此中止合同义务的履行。</w:t>
      </w:r>
    </w:p>
    <w:p>
      <w:pPr>
        <w:pStyle w:val="6"/>
        <w:keepNext w:val="0"/>
        <w:keepLines w:val="0"/>
        <w:pageBreakBefore w:val="0"/>
        <w:widowControl w:val="0"/>
        <w:kinsoku/>
        <w:wordWrap/>
        <w:overflowPunct/>
        <w:topLinePunct w:val="0"/>
        <w:bidi w:val="0"/>
        <w:adjustRightInd/>
        <w:snapToGrid/>
        <w:spacing w:line="360"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4.售后要求：供应商应及时维护自身平台，及时响应采购人提出的使用需求。响应方式包括但不限于：热线电话支持、远程支持、技术咨询服务等</w:t>
      </w:r>
      <w:r>
        <w:rPr>
          <w:rFonts w:hint="eastAsia" w:cs="宋体"/>
          <w:sz w:val="22"/>
          <w:szCs w:val="22"/>
          <w:highlight w:val="none"/>
          <w:lang w:val="en-US" w:eastAsia="zh-CN"/>
        </w:rPr>
        <w:t>.</w:t>
      </w:r>
      <w:r>
        <w:rPr>
          <w:rFonts w:hint="eastAsia" w:ascii="宋体" w:hAnsi="宋体" w:eastAsia="宋体" w:cs="宋体"/>
          <w:sz w:val="22"/>
          <w:szCs w:val="22"/>
          <w:highlight w:val="none"/>
          <w:lang w:val="en-US" w:eastAsia="zh-CN"/>
        </w:rPr>
        <w:t>供应商需按合同约定为采购人提供本项目合同约定的服务，并对采购人的招聘信息等进行维护</w:t>
      </w:r>
      <w:r>
        <w:rPr>
          <w:rFonts w:hint="eastAsia" w:cs="宋体"/>
          <w:sz w:val="22"/>
          <w:szCs w:val="22"/>
          <w:highlight w:val="none"/>
          <w:lang w:val="en-US" w:eastAsia="zh-CN"/>
        </w:rPr>
        <w:t>。</w:t>
      </w:r>
      <w:r>
        <w:rPr>
          <w:rFonts w:hint="eastAsia" w:ascii="宋体" w:hAnsi="宋体" w:eastAsia="宋体" w:cs="宋体"/>
          <w:sz w:val="22"/>
          <w:szCs w:val="22"/>
          <w:highlight w:val="none"/>
          <w:lang w:val="en-US" w:eastAsia="zh-CN"/>
        </w:rPr>
        <w:t>供应商应保证提供服务的网站正常运行，如有技术调整将影响网站的服务超过24小时的，需提前通知采购人</w:t>
      </w:r>
      <w:r>
        <w:rPr>
          <w:rFonts w:hint="eastAsia" w:cs="宋体"/>
          <w:sz w:val="22"/>
          <w:szCs w:val="22"/>
          <w:highlight w:val="none"/>
          <w:lang w:val="en-US" w:eastAsia="zh-CN"/>
        </w:rPr>
        <w:t>。</w:t>
      </w:r>
    </w:p>
    <w:p>
      <w:pPr>
        <w:pStyle w:val="6"/>
        <w:keepNext w:val="0"/>
        <w:keepLines w:val="0"/>
        <w:pageBreakBefore w:val="0"/>
        <w:widowControl w:val="0"/>
        <w:kinsoku/>
        <w:wordWrap/>
        <w:overflowPunct/>
        <w:topLinePunct w:val="0"/>
        <w:bidi w:val="0"/>
        <w:adjustRightInd/>
        <w:snapToGrid/>
        <w:spacing w:line="360"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5.阶段性验收的标准:按照采购公告、供应商响应文件及合同约定内容进行验收。</w:t>
      </w:r>
    </w:p>
    <w:p>
      <w:pPr>
        <w:pStyle w:val="6"/>
        <w:keepNext w:val="0"/>
        <w:keepLines w:val="0"/>
        <w:pageBreakBefore w:val="0"/>
        <w:widowControl w:val="0"/>
        <w:kinsoku/>
        <w:wordWrap/>
        <w:overflowPunct/>
        <w:topLinePunct w:val="0"/>
        <w:bidi w:val="0"/>
        <w:adjustRightInd/>
        <w:snapToGrid/>
        <w:spacing w:line="360"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6.违约责任：</w:t>
      </w:r>
    </w:p>
    <w:p>
      <w:pPr>
        <w:pStyle w:val="6"/>
        <w:keepNext w:val="0"/>
        <w:keepLines w:val="0"/>
        <w:pageBreakBefore w:val="0"/>
        <w:widowControl w:val="0"/>
        <w:kinsoku/>
        <w:wordWrap/>
        <w:overflowPunct/>
        <w:topLinePunct w:val="0"/>
        <w:bidi w:val="0"/>
        <w:adjustRightInd/>
        <w:snapToGrid/>
        <w:spacing w:line="360"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（1）供应商逾期提供服务或</w:t>
      </w:r>
      <w:r>
        <w:rPr>
          <w:rFonts w:hint="eastAsia" w:cs="宋体"/>
          <w:sz w:val="22"/>
          <w:szCs w:val="22"/>
          <w:highlight w:val="none"/>
          <w:lang w:val="en-US" w:eastAsia="zh-CN"/>
        </w:rPr>
        <w:t>未按合同约定提供</w:t>
      </w:r>
      <w:r>
        <w:rPr>
          <w:rFonts w:hint="eastAsia" w:ascii="宋体" w:hAnsi="宋体" w:eastAsia="宋体" w:cs="宋体"/>
          <w:sz w:val="22"/>
          <w:szCs w:val="22"/>
          <w:highlight w:val="none"/>
          <w:lang w:val="en-US" w:eastAsia="zh-CN"/>
        </w:rPr>
        <w:t>服务影响采购人正常使用的，应向采购人支付违约金（违约金额为合同总金额*1%*逾期或</w:t>
      </w:r>
      <w:r>
        <w:rPr>
          <w:rFonts w:hint="eastAsia" w:cs="宋体"/>
          <w:sz w:val="22"/>
          <w:szCs w:val="22"/>
          <w:highlight w:val="none"/>
          <w:lang w:val="en-US" w:eastAsia="zh-CN"/>
        </w:rPr>
        <w:t>未履约</w:t>
      </w:r>
      <w:r>
        <w:rPr>
          <w:rFonts w:hint="eastAsia" w:ascii="宋体" w:hAnsi="宋体" w:eastAsia="宋体" w:cs="宋体"/>
          <w:sz w:val="22"/>
          <w:szCs w:val="22"/>
          <w:highlight w:val="none"/>
          <w:lang w:val="en-US" w:eastAsia="zh-CN"/>
        </w:rPr>
        <w:t>天数），逾期或</w:t>
      </w:r>
      <w:r>
        <w:rPr>
          <w:rFonts w:hint="eastAsia" w:cs="宋体"/>
          <w:sz w:val="22"/>
          <w:szCs w:val="22"/>
          <w:highlight w:val="none"/>
          <w:lang w:val="en-US" w:eastAsia="zh-CN"/>
        </w:rPr>
        <w:t>未履约</w:t>
      </w:r>
      <w:r>
        <w:rPr>
          <w:rFonts w:hint="eastAsia" w:ascii="宋体" w:hAnsi="宋体" w:eastAsia="宋体" w:cs="宋体"/>
          <w:sz w:val="22"/>
          <w:szCs w:val="22"/>
          <w:highlight w:val="none"/>
          <w:lang w:val="en-US" w:eastAsia="zh-CN"/>
        </w:rPr>
        <w:t>总天数（两者可累计）大于</w:t>
      </w:r>
      <w:r>
        <w:rPr>
          <w:rFonts w:hint="eastAsia" w:cs="宋体"/>
          <w:sz w:val="22"/>
          <w:szCs w:val="22"/>
          <w:highlight w:val="none"/>
          <w:lang w:val="en-US" w:eastAsia="zh-CN"/>
        </w:rPr>
        <w:t>等于</w:t>
      </w:r>
      <w:r>
        <w:rPr>
          <w:rFonts w:hint="eastAsia" w:ascii="宋体" w:hAnsi="宋体" w:eastAsia="宋体" w:cs="宋体"/>
          <w:sz w:val="22"/>
          <w:szCs w:val="22"/>
          <w:highlight w:val="none"/>
          <w:lang w:val="en-US" w:eastAsia="zh-CN"/>
        </w:rPr>
        <w:t>15天的，采购人有权单方解除合同，供应商应退还采购人已付费用并另按合同总金额的15%支付违约金；</w:t>
      </w:r>
    </w:p>
    <w:p>
      <w:pPr>
        <w:pStyle w:val="6"/>
        <w:keepNext w:val="0"/>
        <w:keepLines w:val="0"/>
        <w:pageBreakBefore w:val="0"/>
        <w:widowControl w:val="0"/>
        <w:kinsoku/>
        <w:wordWrap/>
        <w:overflowPunct/>
        <w:topLinePunct w:val="0"/>
        <w:bidi w:val="0"/>
        <w:adjustRightInd/>
        <w:snapToGrid/>
        <w:spacing w:line="360"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采购人在使用供应商平台时发生故障，供应商承诺在采购人发出通知后24小时内完成平台恢复或提供备用的访问站点，若未在24小时内解决故障问题则相应延长服务期。若在协议约定的服务期内，故障的总天数累计大于</w:t>
      </w:r>
      <w:r>
        <w:rPr>
          <w:rFonts w:hint="eastAsia" w:cs="宋体"/>
          <w:sz w:val="22"/>
          <w:szCs w:val="22"/>
          <w:highlight w:val="none"/>
          <w:lang w:val="en-US" w:eastAsia="zh-CN"/>
        </w:rPr>
        <w:t>等于</w:t>
      </w:r>
      <w:r>
        <w:rPr>
          <w:rFonts w:hint="eastAsia" w:ascii="宋体" w:hAnsi="宋体" w:eastAsia="宋体" w:cs="宋体"/>
          <w:sz w:val="22"/>
          <w:szCs w:val="22"/>
          <w:highlight w:val="none"/>
          <w:lang w:val="en-US" w:eastAsia="zh-CN"/>
        </w:rPr>
        <w:t>15天，采购人有权单方解除合同，供应商应退还采购人已付费用并另按合同总金额的15%支付违约金；</w:t>
      </w:r>
    </w:p>
    <w:p>
      <w:pPr>
        <w:pStyle w:val="6"/>
        <w:keepNext w:val="0"/>
        <w:keepLines w:val="0"/>
        <w:pageBreakBefore w:val="0"/>
        <w:widowControl w:val="0"/>
        <w:kinsoku/>
        <w:wordWrap/>
        <w:overflowPunct/>
        <w:topLinePunct w:val="0"/>
        <w:bidi w:val="0"/>
        <w:adjustRightInd/>
        <w:snapToGrid/>
        <w:spacing w:line="360"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（3）除合同另有约定，供应商有其他违约行为的，经采购人提出后逾期未纠正的，采购人有权单方解除合同，供应商应退还采购人已付费用并另按合同总金额的15%支付违约金；</w:t>
      </w:r>
    </w:p>
    <w:p>
      <w:pPr>
        <w:pStyle w:val="6"/>
        <w:keepNext w:val="0"/>
        <w:keepLines w:val="0"/>
        <w:pageBreakBefore w:val="0"/>
        <w:widowControl w:val="0"/>
        <w:kinsoku/>
        <w:wordWrap/>
        <w:overflowPunct/>
        <w:topLinePunct w:val="0"/>
        <w:bidi w:val="0"/>
        <w:adjustRightInd/>
        <w:snapToGrid/>
        <w:spacing w:line="360"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（4）因供应商内部问题导致采购人受到互联网领域（包括但不限于抖音、小红书、今日头条、微信公众号、快手、微博）负面影响，应在2小时内控制负面影响并视负面影响影响的严重程度给予经济处罚5000元-2</w:t>
      </w:r>
      <w:r>
        <w:rPr>
          <w:rFonts w:hint="eastAsia" w:cs="宋体"/>
          <w:sz w:val="22"/>
          <w:szCs w:val="22"/>
          <w:highlight w:val="none"/>
          <w:lang w:val="en-US" w:eastAsia="zh-CN"/>
        </w:rPr>
        <w:t>0</w:t>
      </w:r>
      <w:r>
        <w:rPr>
          <w:rFonts w:hint="eastAsia" w:ascii="宋体" w:hAnsi="宋体" w:eastAsia="宋体" w:cs="宋体"/>
          <w:sz w:val="22"/>
          <w:szCs w:val="22"/>
          <w:highlight w:val="none"/>
          <w:lang w:val="en-US" w:eastAsia="zh-CN"/>
        </w:rPr>
        <w:t>000元，且采购人有权解除合同，并追究供应商相关责任；</w:t>
      </w:r>
    </w:p>
    <w:p>
      <w:pPr>
        <w:pStyle w:val="6"/>
        <w:keepNext w:val="0"/>
        <w:keepLines w:val="0"/>
        <w:pageBreakBefore w:val="0"/>
        <w:widowControl w:val="0"/>
        <w:kinsoku/>
        <w:wordWrap/>
        <w:overflowPunct/>
        <w:topLinePunct w:val="0"/>
        <w:bidi w:val="0"/>
        <w:adjustRightInd/>
        <w:snapToGrid/>
        <w:spacing w:line="360"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5）供应商在参与本项目采购活动过程中，因自身围标、串标或提供虚假材料（承诺）谋取中选（成交）等行为被质疑成立、投诉成立或被相关上级部门通报处罚的，采购人有权解除合同，并追究供应商相关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四、评审方法及评审标准</w:t>
      </w:r>
    </w:p>
    <w:p>
      <w:pPr>
        <w:pStyle w:val="6"/>
        <w:keepNext w:val="0"/>
        <w:keepLines w:val="0"/>
        <w:pageBreakBefore w:val="0"/>
        <w:widowControl w:val="0"/>
        <w:kinsoku/>
        <w:wordWrap/>
        <w:overflowPunct/>
        <w:topLinePunct w:val="0"/>
        <w:bidi w:val="0"/>
        <w:adjustRightInd/>
        <w:snapToGrid/>
        <w:spacing w:line="360" w:lineRule="auto"/>
        <w:ind w:firstLine="440" w:firstLineChars="200"/>
        <w:textAlignment w:val="auto"/>
        <w:rPr>
          <w:rFonts w:hint="eastAsia" w:ascii="宋体" w:hAnsi="宋体" w:eastAsia="宋体" w:cs="宋体"/>
          <w:sz w:val="24"/>
          <w:szCs w:val="24"/>
        </w:rPr>
      </w:pPr>
      <w:r>
        <w:rPr>
          <w:rFonts w:hint="eastAsia" w:ascii="宋体" w:hAnsi="宋体" w:eastAsia="宋体" w:cs="宋体"/>
          <w:sz w:val="22"/>
          <w:szCs w:val="22"/>
          <w:highlight w:val="none"/>
        </w:rPr>
        <w:t>本项目采用综合评分法。满足采购文件全部实质性要求，且按照评审因素的量化指标评审得分最高的供应商为成交候选人</w:t>
      </w:r>
      <w:r>
        <w:rPr>
          <w:rFonts w:hint="eastAsia" w:cs="宋体"/>
          <w:kern w:val="0"/>
          <w:sz w:val="24"/>
          <w:szCs w:val="24"/>
          <w:highlight w:val="none"/>
          <w:lang w:val="zh-CN" w:eastAsia="zh-CN" w:bidi="zh-CN"/>
        </w:rPr>
        <w:t>。</w:t>
      </w:r>
    </w:p>
    <w:p>
      <w:pPr>
        <w:pStyle w:val="14"/>
        <w:rPr>
          <w:rFonts w:hint="eastAsia"/>
        </w:rPr>
      </w:pPr>
    </w:p>
    <w:p>
      <w:pPr>
        <w:pStyle w:val="14"/>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EastAsia" w:hAnsiTheme="minorEastAsia" w:eastAsiaTheme="minorEastAsia" w:cstheme="minorEastAsia"/>
          <w:i w:val="0"/>
          <w:caps w:val="0"/>
          <w:color w:val="auto"/>
          <w:spacing w:val="0"/>
          <w:sz w:val="28"/>
          <w:szCs w:val="28"/>
          <w:shd w:val="clear" w:fill="FFFFFF"/>
        </w:rPr>
        <w:sectPr>
          <w:pgSz w:w="11906" w:h="16838"/>
          <w:pgMar w:top="1434" w:right="1474" w:bottom="1434" w:left="1474" w:header="851" w:footer="992" w:gutter="0"/>
          <w:pgNumType w:fmt="decimal"/>
          <w:cols w:space="425" w:num="1"/>
          <w:docGrid w:type="lines" w:linePitch="312" w:charSpace="0"/>
        </w:sectPr>
      </w:pPr>
    </w:p>
    <w:p>
      <w:pPr>
        <w:widowControl w:val="0"/>
        <w:spacing w:line="360" w:lineRule="auto"/>
        <w:ind w:firstLine="0" w:firstLineChars="0"/>
        <w:jc w:val="center"/>
        <w:rPr>
          <w:rFonts w:hint="eastAsia" w:ascii="宋体" w:hAnsi="宋体" w:eastAsia="宋体" w:cs="宋体"/>
          <w:b/>
          <w:color w:val="auto"/>
          <w:sz w:val="36"/>
          <w:szCs w:val="44"/>
          <w:highlight w:val="none"/>
          <w:lang w:val="en-US" w:eastAsia="zh-CN" w:bidi="ar-SA"/>
        </w:rPr>
      </w:pPr>
      <w:r>
        <w:rPr>
          <w:rFonts w:hint="eastAsia" w:ascii="宋体" w:hAnsi="宋体" w:eastAsia="宋体" w:cs="宋体"/>
          <w:b/>
          <w:color w:val="auto"/>
          <w:sz w:val="36"/>
          <w:szCs w:val="44"/>
          <w:highlight w:val="none"/>
          <w:lang w:val="en-US" w:eastAsia="zh-CN" w:bidi="ar-SA"/>
        </w:rPr>
        <w:t>第三部分  投标人须知前附表</w:t>
      </w:r>
    </w:p>
    <w:p>
      <w:pPr>
        <w:widowControl w:val="0"/>
        <w:spacing w:line="360" w:lineRule="auto"/>
        <w:ind w:firstLine="0" w:firstLineChars="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本表是对《投标人须知》的具体补充和说明，如有矛盾，应以本表为准（本表条款号为第六部分相应条款的条款号）。</w:t>
      </w:r>
    </w:p>
    <w:tbl>
      <w:tblPr>
        <w:tblStyle w:val="16"/>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8"/>
        <w:gridCol w:w="8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8"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条款号</w:t>
            </w:r>
          </w:p>
        </w:tc>
        <w:tc>
          <w:tcPr>
            <w:tcW w:w="8711"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2" w:hRule="atLeast"/>
          <w:jc w:val="center"/>
        </w:trPr>
        <w:tc>
          <w:tcPr>
            <w:tcW w:w="9439" w:type="dxa"/>
            <w:gridSpan w:val="2"/>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说</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3" w:hRule="atLeast"/>
          <w:jc w:val="center"/>
        </w:trPr>
        <w:tc>
          <w:tcPr>
            <w:tcW w:w="728" w:type="dxa"/>
            <w:noWrap w:val="0"/>
            <w:vAlign w:val="center"/>
          </w:tcPr>
          <w:p>
            <w:pPr>
              <w:spacing w:line="360"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w:t>
            </w:r>
          </w:p>
        </w:tc>
        <w:tc>
          <w:tcPr>
            <w:tcW w:w="8711" w:type="dxa"/>
            <w:noWrap w:val="0"/>
            <w:vAlign w:val="center"/>
          </w:tcPr>
          <w:p>
            <w:pPr>
              <w:spacing w:line="360" w:lineRule="auto"/>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项目名称：珠海市香洲区第二人民医院</w:t>
            </w:r>
            <w:r>
              <w:rPr>
                <w:rFonts w:hint="eastAsia" w:cs="宋体"/>
                <w:color w:val="auto"/>
                <w:sz w:val="21"/>
                <w:szCs w:val="21"/>
                <w:highlight w:val="none"/>
                <w:lang w:val="en-US" w:eastAsia="zh-CN" w:bidi="ar-SA"/>
              </w:rPr>
              <w:t>第三方招聘服务年度供应商采购</w:t>
            </w:r>
            <w:r>
              <w:rPr>
                <w:rFonts w:hint="eastAsia" w:ascii="宋体" w:hAnsi="宋体" w:eastAsia="宋体" w:cs="宋体"/>
                <w:color w:val="auto"/>
                <w:sz w:val="21"/>
                <w:szCs w:val="21"/>
                <w:highlight w:val="none"/>
                <w:lang w:val="en-US" w:eastAsia="zh-CN" w:bidi="ar-SA"/>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8"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2.1</w:t>
            </w:r>
          </w:p>
        </w:tc>
        <w:tc>
          <w:tcPr>
            <w:tcW w:w="8711"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采购人名称：</w:t>
            </w:r>
            <w:r>
              <w:rPr>
                <w:rFonts w:hint="eastAsia" w:ascii="宋体" w:hAnsi="宋体" w:eastAsia="宋体" w:cs="Times New Roman"/>
                <w:color w:val="auto"/>
                <w:sz w:val="21"/>
                <w:szCs w:val="21"/>
                <w:highlight w:val="none"/>
                <w:lang w:val="en-US" w:eastAsia="zh-CN" w:bidi="ar-SA"/>
              </w:rPr>
              <w:t>珠海市香洲区第二人民医院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8"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2.2</w:t>
            </w:r>
          </w:p>
        </w:tc>
        <w:tc>
          <w:tcPr>
            <w:tcW w:w="8711"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投标人资格要求：详见招标公告“申请人的资格要求”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8"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2.3</w:t>
            </w:r>
          </w:p>
        </w:tc>
        <w:tc>
          <w:tcPr>
            <w:tcW w:w="8711"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439" w:type="dxa"/>
            <w:gridSpan w:val="2"/>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投标文件的编制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8"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3</w:t>
            </w:r>
          </w:p>
        </w:tc>
        <w:tc>
          <w:tcPr>
            <w:tcW w:w="8711"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投标报价：投标报价包括完成所有服务内容所需的设备物资成本、人力成本、管理费、利润、税费等承接本项目工作范围内的一切费用，投标人综合考虑报价。所有价格均应以人民币报价，金额单位为元。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8"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4</w:t>
            </w:r>
          </w:p>
        </w:tc>
        <w:tc>
          <w:tcPr>
            <w:tcW w:w="8711"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投标有效期：开标之日起90个日历日。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47" w:hRule="atLeast"/>
          <w:jc w:val="center"/>
        </w:trPr>
        <w:tc>
          <w:tcPr>
            <w:tcW w:w="728"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5</w:t>
            </w:r>
          </w:p>
        </w:tc>
        <w:tc>
          <w:tcPr>
            <w:tcW w:w="8711"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投标文件数量（标注“■”为确定方式）：</w:t>
            </w:r>
          </w:p>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■（1）纸质投标文件：正本一份，副本</w:t>
            </w:r>
            <w:r>
              <w:rPr>
                <w:rFonts w:hint="eastAsia" w:cs="宋体"/>
                <w:color w:val="auto"/>
                <w:sz w:val="21"/>
                <w:szCs w:val="21"/>
                <w:highlight w:val="none"/>
                <w:lang w:val="en-US" w:eastAsia="zh-CN" w:bidi="ar-SA"/>
              </w:rPr>
              <w:t>贰</w:t>
            </w:r>
            <w:r>
              <w:rPr>
                <w:rFonts w:hint="eastAsia" w:ascii="宋体" w:hAnsi="宋体" w:eastAsia="宋体" w:cs="宋体"/>
                <w:color w:val="auto"/>
                <w:sz w:val="21"/>
                <w:szCs w:val="21"/>
                <w:highlight w:val="none"/>
                <w:lang w:val="en-US" w:eastAsia="zh-CN" w:bidi="ar-SA"/>
              </w:rPr>
              <w:t>份。（根据“节约能源、保护环境”的理念，建议投标人采用A4纸、双面打印、胶装）</w:t>
            </w:r>
          </w:p>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□（2）电子版投标文件：一份。（投标人根据</w:t>
            </w:r>
            <w:r>
              <w:rPr>
                <w:rFonts w:hint="eastAsia" w:ascii="Calibri" w:hAnsi="宋体" w:eastAsia="宋体" w:cs="宋体"/>
                <w:color w:val="auto"/>
                <w:sz w:val="21"/>
                <w:szCs w:val="21"/>
                <w:highlight w:val="none"/>
                <w:lang w:val="en-US" w:eastAsia="zh-CN" w:bidi="ar-SA"/>
              </w:rPr>
              <w:t>招标文件</w:t>
            </w:r>
            <w:r>
              <w:rPr>
                <w:rFonts w:hint="eastAsia" w:ascii="宋体" w:hAnsi="宋体" w:eastAsia="宋体" w:cs="宋体"/>
                <w:color w:val="auto"/>
                <w:sz w:val="21"/>
                <w:szCs w:val="21"/>
                <w:highlight w:val="none"/>
                <w:lang w:val="en-US" w:eastAsia="zh-CN" w:bidi="ar-SA"/>
              </w:rPr>
              <w:t>编制要求制作投标文件</w:t>
            </w:r>
            <w:r>
              <w:rPr>
                <w:rFonts w:hint="eastAsia" w:ascii="Calibri" w:hAnsi="宋体" w:eastAsia="宋体" w:cs="宋体"/>
                <w:color w:val="auto"/>
                <w:sz w:val="21"/>
                <w:szCs w:val="21"/>
                <w:highlight w:val="none"/>
                <w:lang w:val="en-US" w:eastAsia="zh-CN" w:bidi="ar-SA"/>
              </w:rPr>
              <w:t>，</w:t>
            </w:r>
            <w:r>
              <w:rPr>
                <w:rFonts w:hint="eastAsia" w:ascii="宋体" w:hAnsi="宋体" w:eastAsia="宋体" w:cs="宋体"/>
                <w:color w:val="auto"/>
                <w:sz w:val="21"/>
                <w:szCs w:val="21"/>
                <w:highlight w:val="none"/>
                <w:lang w:val="en-US" w:eastAsia="zh-CN" w:bidi="ar-SA"/>
              </w:rPr>
              <w:t>签字、盖章</w:t>
            </w:r>
            <w:r>
              <w:rPr>
                <w:rFonts w:hint="eastAsia" w:ascii="Calibri" w:hAnsi="宋体" w:eastAsia="宋体" w:cs="宋体"/>
                <w:color w:val="auto"/>
                <w:sz w:val="21"/>
                <w:szCs w:val="21"/>
                <w:highlight w:val="none"/>
                <w:lang w:val="en-US" w:eastAsia="zh-CN" w:bidi="ar-SA"/>
              </w:rPr>
              <w:t>后</w:t>
            </w:r>
            <w:r>
              <w:rPr>
                <w:rFonts w:hint="eastAsia" w:ascii="宋体" w:hAnsi="宋体" w:eastAsia="宋体" w:cs="宋体"/>
                <w:color w:val="auto"/>
                <w:sz w:val="21"/>
                <w:szCs w:val="21"/>
                <w:highlight w:val="none"/>
                <w:lang w:val="en-US" w:eastAsia="zh-CN" w:bidi="ar-SA"/>
              </w:rPr>
              <w:t>将</w:t>
            </w:r>
            <w:r>
              <w:rPr>
                <w:rFonts w:hint="eastAsia" w:ascii="Calibri" w:hAnsi="宋体" w:eastAsia="宋体" w:cs="宋体"/>
                <w:color w:val="auto"/>
                <w:sz w:val="21"/>
                <w:szCs w:val="21"/>
                <w:highlight w:val="none"/>
                <w:lang w:val="en-US" w:eastAsia="zh-CN" w:bidi="ar-SA"/>
              </w:rPr>
              <w:t>正本</w:t>
            </w:r>
            <w:r>
              <w:rPr>
                <w:rFonts w:hint="eastAsia" w:ascii="宋体" w:hAnsi="宋体" w:eastAsia="宋体" w:cs="宋体"/>
                <w:color w:val="auto"/>
                <w:sz w:val="21"/>
                <w:szCs w:val="21"/>
                <w:highlight w:val="none"/>
                <w:lang w:val="en-US" w:eastAsia="zh-CN" w:bidi="ar-SA"/>
              </w:rPr>
              <w:t>彩色扫描形成</w:t>
            </w:r>
            <w:r>
              <w:rPr>
                <w:rFonts w:hint="eastAsia" w:ascii="Calibri" w:hAnsi="宋体" w:eastAsia="宋体" w:cs="宋体"/>
                <w:color w:val="auto"/>
                <w:sz w:val="21"/>
                <w:szCs w:val="21"/>
                <w:highlight w:val="none"/>
                <w:lang w:val="en-US" w:eastAsia="zh-CN" w:bidi="ar-SA"/>
              </w:rPr>
              <w:t>PDF格式的</w:t>
            </w:r>
            <w:r>
              <w:rPr>
                <w:rFonts w:hint="eastAsia" w:ascii="宋体" w:hAnsi="宋体" w:eastAsia="宋体" w:cs="宋体"/>
                <w:color w:val="auto"/>
                <w:sz w:val="21"/>
                <w:szCs w:val="21"/>
                <w:highlight w:val="none"/>
                <w:lang w:val="en-US" w:eastAsia="zh-CN" w:bidi="ar-SA"/>
              </w:rPr>
              <w:t>电子文档。将PDF电子文档</w:t>
            </w:r>
            <w:r>
              <w:rPr>
                <w:rFonts w:hint="eastAsia" w:ascii="Calibri" w:hAnsi="宋体" w:eastAsia="宋体" w:cs="宋体"/>
                <w:color w:val="auto"/>
                <w:sz w:val="21"/>
                <w:szCs w:val="21"/>
                <w:highlight w:val="none"/>
                <w:lang w:val="en-US" w:eastAsia="zh-CN" w:bidi="ar-SA"/>
              </w:rPr>
              <w:t>以及</w:t>
            </w:r>
            <w:r>
              <w:rPr>
                <w:rFonts w:hint="eastAsia" w:ascii="宋体" w:hAnsi="宋体" w:eastAsia="宋体" w:cs="宋体"/>
                <w:color w:val="auto"/>
                <w:sz w:val="21"/>
                <w:szCs w:val="21"/>
                <w:highlight w:val="none"/>
                <w:lang w:val="en-US" w:eastAsia="zh-CN" w:bidi="ar-SA"/>
              </w:rPr>
              <w:t>可编辑word或excel文档刻录成光盘或者U盘</w:t>
            </w:r>
            <w:r>
              <w:rPr>
                <w:rFonts w:hint="eastAsia" w:ascii="宋体" w:hAnsi="宋体" w:eastAsia="宋体" w:cs="宋体"/>
                <w:b w:val="0"/>
                <w:bCs w:val="0"/>
                <w:color w:val="auto"/>
                <w:sz w:val="21"/>
                <w:szCs w:val="21"/>
                <w:highlight w:val="none"/>
                <w:lang w:val="en-US" w:eastAsia="zh-CN" w:bidi="ar-SA"/>
              </w:rPr>
              <w:t>存</w:t>
            </w:r>
            <w:r>
              <w:rPr>
                <w:rFonts w:hint="eastAsia" w:ascii="Calibri" w:hAnsi="宋体" w:eastAsia="宋体" w:cs="宋体"/>
                <w:color w:val="auto"/>
                <w:sz w:val="21"/>
                <w:szCs w:val="21"/>
                <w:highlight w:val="none"/>
                <w:lang w:val="en-US" w:eastAsia="zh-CN" w:bidi="ar-SA"/>
              </w:rPr>
              <w:t>贮。若未按上述要求提供各类电子文档或提供的电子文档与投标文件正本不一致，由此产生的投标风险由投标人自行承担。光盘或U盘重</w:t>
            </w:r>
            <w:r>
              <w:rPr>
                <w:rFonts w:hint="eastAsia" w:ascii="宋体" w:hAnsi="宋体" w:eastAsia="宋体" w:cs="宋体"/>
                <w:b w:val="0"/>
                <w:bCs w:val="0"/>
                <w:color w:val="auto"/>
                <w:sz w:val="21"/>
                <w:szCs w:val="21"/>
                <w:highlight w:val="none"/>
                <w:lang w:val="en-US" w:eastAsia="zh-CN" w:bidi="ar-SA"/>
              </w:rPr>
              <w:t>命</w:t>
            </w:r>
            <w:r>
              <w:rPr>
                <w:rFonts w:hint="eastAsia" w:ascii="宋体" w:hAnsi="宋体" w:eastAsia="宋体" w:cs="宋体"/>
                <w:color w:val="auto"/>
                <w:sz w:val="21"/>
                <w:szCs w:val="21"/>
                <w:highlight w:val="none"/>
                <w:lang w:val="en-US" w:eastAsia="zh-CN" w:bidi="ar-SA"/>
              </w:rPr>
              <w:t>名为投标人名称与投标文件密封在同一包装提交，提交的光盘或U盘于投标截止时间后不予退还）</w:t>
            </w:r>
          </w:p>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□（3）若为分包组项目，各包组应分别准备以上内容。</w:t>
            </w:r>
          </w:p>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注：评审时以纸质投标文件为准。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439" w:type="dxa"/>
            <w:gridSpan w:val="2"/>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投标文件的递交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8"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6</w:t>
            </w:r>
          </w:p>
        </w:tc>
        <w:tc>
          <w:tcPr>
            <w:tcW w:w="8711"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提交投标文件截止时间、开标时间及地点详见招标文件第一部分《招标公告》。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439" w:type="dxa"/>
            <w:gridSpan w:val="2"/>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开标、评标、定标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8"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7</w:t>
            </w:r>
          </w:p>
        </w:tc>
        <w:tc>
          <w:tcPr>
            <w:tcW w:w="8711"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本项目的评标由依法组建的评标委员会负责，其成员由采购人代表等方面的专家组成。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5" w:hRule="atLeast"/>
          <w:jc w:val="center"/>
        </w:trPr>
        <w:tc>
          <w:tcPr>
            <w:tcW w:w="728"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8</w:t>
            </w:r>
          </w:p>
        </w:tc>
        <w:tc>
          <w:tcPr>
            <w:tcW w:w="8711" w:type="dxa"/>
            <w:noWrap w:val="0"/>
            <w:vAlign w:val="center"/>
          </w:tcPr>
          <w:p>
            <w:pPr>
              <w:keepNext w:val="0"/>
              <w:keepLines/>
              <w:pageBreakBefore w:val="0"/>
              <w:widowControl/>
              <w:tabs>
                <w:tab w:val="left" w:pos="-30"/>
              </w:tabs>
              <w:kinsoku/>
              <w:wordWrap/>
              <w:overflowPunct/>
              <w:topLinePunct w:val="0"/>
              <w:autoSpaceDE/>
              <w:autoSpaceDN/>
              <w:bidi w:val="0"/>
              <w:adjustRightInd w:val="0"/>
              <w:snapToGrid w:val="0"/>
              <w:spacing w:before="0" w:after="0" w:line="360" w:lineRule="auto"/>
              <w:ind w:left="0" w:right="0"/>
              <w:jc w:val="both"/>
              <w:textAlignment w:val="auto"/>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在投标文件初审过程中，如发现下列情况之一的，其投标将被视为未实质性响应招标文件而作无效投标处理：</w:t>
            </w:r>
          </w:p>
          <w:p>
            <w:pPr>
              <w:keepNext w:val="0"/>
              <w:keepLines/>
              <w:pageBreakBefore w:val="0"/>
              <w:widowControl/>
              <w:tabs>
                <w:tab w:val="left" w:pos="872"/>
              </w:tabs>
              <w:kinsoku/>
              <w:wordWrap/>
              <w:overflowPunct/>
              <w:topLinePunct w:val="0"/>
              <w:autoSpaceDE/>
              <w:autoSpaceDN/>
              <w:bidi w:val="0"/>
              <w:adjustRightInd w:val="0"/>
              <w:snapToGrid w:val="0"/>
              <w:spacing w:before="0" w:after="0" w:line="360" w:lineRule="auto"/>
              <w:ind w:left="0" w:right="0"/>
              <w:jc w:val="both"/>
              <w:textAlignment w:val="auto"/>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（1）投标文件未按招标文件要求签署、盖章的</w:t>
            </w:r>
            <w:r>
              <w:rPr>
                <w:rFonts w:hint="eastAsia" w:ascii="宋体" w:hAnsi="宋体" w:eastAsia="宋体" w:cs="宋体"/>
                <w:b/>
                <w:bCs/>
                <w:color w:val="auto"/>
                <w:sz w:val="21"/>
                <w:szCs w:val="21"/>
                <w:highlight w:val="none"/>
                <w:lang w:val="en-US" w:bidi="ar-SA"/>
              </w:rPr>
              <w:t>（不接受电子公章、电子签名或者电子签章)</w:t>
            </w:r>
            <w:r>
              <w:rPr>
                <w:rFonts w:hint="eastAsia" w:ascii="宋体" w:hAnsi="宋体" w:eastAsia="宋体" w:cs="宋体"/>
                <w:color w:val="auto"/>
                <w:sz w:val="21"/>
                <w:szCs w:val="21"/>
                <w:highlight w:val="none"/>
                <w:lang w:val="en-US" w:bidi="ar-SA"/>
              </w:rPr>
              <w:t>；</w:t>
            </w:r>
          </w:p>
          <w:p>
            <w:pPr>
              <w:keepNext w:val="0"/>
              <w:keepLines/>
              <w:pageBreakBefore w:val="0"/>
              <w:widowControl/>
              <w:tabs>
                <w:tab w:val="left" w:pos="872"/>
              </w:tabs>
              <w:kinsoku/>
              <w:wordWrap/>
              <w:overflowPunct/>
              <w:topLinePunct w:val="0"/>
              <w:autoSpaceDE/>
              <w:autoSpaceDN/>
              <w:bidi w:val="0"/>
              <w:adjustRightInd w:val="0"/>
              <w:snapToGrid w:val="0"/>
              <w:spacing w:before="0" w:after="0" w:line="360" w:lineRule="auto"/>
              <w:ind w:left="0" w:right="0"/>
              <w:jc w:val="both"/>
              <w:textAlignment w:val="auto"/>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（2）不具备招标文件中规定的资格要求的；</w:t>
            </w:r>
          </w:p>
          <w:p>
            <w:pPr>
              <w:keepNext w:val="0"/>
              <w:keepLines/>
              <w:pageBreakBefore w:val="0"/>
              <w:widowControl/>
              <w:tabs>
                <w:tab w:val="left" w:pos="872"/>
              </w:tabs>
              <w:kinsoku/>
              <w:wordWrap/>
              <w:overflowPunct/>
              <w:topLinePunct w:val="0"/>
              <w:autoSpaceDE/>
              <w:autoSpaceDN/>
              <w:bidi w:val="0"/>
              <w:adjustRightInd w:val="0"/>
              <w:snapToGrid w:val="0"/>
              <w:spacing w:before="0" w:after="0" w:line="360" w:lineRule="auto"/>
              <w:ind w:left="0" w:right="0"/>
              <w:jc w:val="both"/>
              <w:textAlignment w:val="auto"/>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（3）报价高于招标文件中规定的预算金额的；</w:t>
            </w:r>
          </w:p>
          <w:p>
            <w:pPr>
              <w:keepNext w:val="0"/>
              <w:keepLines/>
              <w:pageBreakBefore w:val="0"/>
              <w:widowControl/>
              <w:tabs>
                <w:tab w:val="left" w:pos="872"/>
              </w:tabs>
              <w:kinsoku/>
              <w:wordWrap/>
              <w:overflowPunct/>
              <w:topLinePunct w:val="0"/>
              <w:autoSpaceDE/>
              <w:autoSpaceDN/>
              <w:bidi w:val="0"/>
              <w:adjustRightInd w:val="0"/>
              <w:snapToGrid w:val="0"/>
              <w:spacing w:before="0" w:after="0" w:line="360" w:lineRule="auto"/>
              <w:ind w:left="0" w:right="0"/>
              <w:jc w:val="both"/>
              <w:textAlignment w:val="auto"/>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（4）投标文件含有采购人不能接受的附加条件的；</w:t>
            </w:r>
          </w:p>
          <w:p>
            <w:pPr>
              <w:keepNext w:val="0"/>
              <w:keepLines/>
              <w:pageBreakBefore w:val="0"/>
              <w:widowControl/>
              <w:tabs>
                <w:tab w:val="left" w:pos="872"/>
              </w:tabs>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（5）法律、法规和招标文件规定的其他无效情形。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8"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9</w:t>
            </w:r>
          </w:p>
        </w:tc>
        <w:tc>
          <w:tcPr>
            <w:tcW w:w="8711" w:type="dxa"/>
            <w:noWrap w:val="0"/>
            <w:vAlign w:val="center"/>
          </w:tcPr>
          <w:p>
            <w:pPr>
              <w:keepNext w:val="0"/>
              <w:keepLines/>
              <w:pageBreakBefore w:val="0"/>
              <w:widowControl/>
              <w:tabs>
                <w:tab w:val="left" w:pos="753"/>
              </w:tabs>
              <w:kinsoku/>
              <w:wordWrap/>
              <w:overflowPunct/>
              <w:topLinePunct w:val="0"/>
              <w:autoSpaceDE/>
              <w:autoSpaceDN/>
              <w:bidi w:val="0"/>
              <w:adjustRightInd w:val="0"/>
              <w:snapToGrid w:val="0"/>
              <w:spacing w:before="120" w:beforeLines="50" w:after="0" w:line="336" w:lineRule="auto"/>
              <w:ind w:left="0" w:right="0"/>
              <w:jc w:val="both"/>
              <w:textAlignment w:val="auto"/>
              <w:rPr>
                <w:rFonts w:hint="eastAsia" w:ascii="宋体" w:hAnsi="宋体" w:eastAsia="宋体" w:cs="宋体"/>
                <w:bCs/>
                <w:color w:val="auto"/>
                <w:kern w:val="2"/>
                <w:sz w:val="21"/>
                <w:szCs w:val="21"/>
                <w:highlight w:val="none"/>
                <w:lang w:val="en-US" w:bidi="ar-SA"/>
              </w:rPr>
            </w:pPr>
            <w:r>
              <w:rPr>
                <w:rFonts w:hint="eastAsia" w:ascii="宋体" w:hAnsi="宋体" w:eastAsia="宋体" w:cs="宋体"/>
                <w:bCs/>
                <w:color w:val="auto"/>
                <w:kern w:val="2"/>
                <w:sz w:val="21"/>
                <w:szCs w:val="21"/>
                <w:highlight w:val="none"/>
                <w:lang w:val="en-US" w:bidi="ar-SA"/>
              </w:rPr>
              <w:t>本项目采用综合评分法来确定中标候选人，首先进行资格审查和符合性审查，对通过资格审查和符合性审查的投标人进行详细评审，其操作程序为：按照商务评分细则、技术评分细则、投标报价评分细则（具体评分细则详见第四部分）进行评分。</w:t>
            </w:r>
          </w:p>
          <w:p>
            <w:pPr>
              <w:keepNext w:val="0"/>
              <w:pageBreakBefore w:val="0"/>
              <w:widowControl w:val="0"/>
              <w:kinsoku/>
              <w:wordWrap/>
              <w:overflowPunct/>
              <w:topLinePunct w:val="0"/>
              <w:autoSpaceDE/>
              <w:autoSpaceDN/>
              <w:bidi w:val="0"/>
              <w:spacing w:before="0" w:after="0" w:line="336" w:lineRule="auto"/>
              <w:ind w:left="0" w:right="0"/>
              <w:jc w:val="both"/>
              <w:textAlignment w:val="auto"/>
              <w:rPr>
                <w:rFonts w:hint="eastAsia" w:ascii="宋体" w:hAnsi="宋体" w:eastAsia="宋体" w:cs="宋体"/>
                <w:bCs/>
                <w:color w:val="auto"/>
                <w:kern w:val="2"/>
                <w:sz w:val="21"/>
                <w:szCs w:val="21"/>
                <w:highlight w:val="none"/>
                <w:lang w:val="en-US" w:bidi="ar-SA"/>
              </w:rPr>
            </w:pPr>
            <w:r>
              <w:rPr>
                <w:rFonts w:hint="eastAsia" w:ascii="宋体" w:hAnsi="宋体" w:eastAsia="宋体" w:cs="宋体"/>
                <w:bCs/>
                <w:color w:val="auto"/>
                <w:kern w:val="2"/>
                <w:sz w:val="21"/>
                <w:szCs w:val="21"/>
                <w:highlight w:val="none"/>
                <w:lang w:val="en-US" w:bidi="ar-SA"/>
              </w:rPr>
              <w:t>特别说明：</w:t>
            </w:r>
          </w:p>
          <w:p>
            <w:pPr>
              <w:keepNext w:val="0"/>
              <w:pageBreakBefore w:val="0"/>
              <w:widowControl w:val="0"/>
              <w:kinsoku/>
              <w:wordWrap/>
              <w:overflowPunct/>
              <w:topLinePunct w:val="0"/>
              <w:autoSpaceDE/>
              <w:autoSpaceDN/>
              <w:bidi w:val="0"/>
              <w:spacing w:before="0" w:after="0" w:line="336" w:lineRule="auto"/>
              <w:ind w:left="0" w:right="0"/>
              <w:jc w:val="both"/>
              <w:textAlignment w:val="auto"/>
              <w:rPr>
                <w:rFonts w:hint="eastAsia" w:ascii="宋体" w:hAnsi="宋体" w:eastAsia="宋体" w:cs="宋体"/>
                <w:bCs/>
                <w:color w:val="auto"/>
                <w:kern w:val="2"/>
                <w:sz w:val="21"/>
                <w:szCs w:val="21"/>
                <w:highlight w:val="none"/>
                <w:lang w:val="en-US" w:bidi="ar-SA"/>
              </w:rPr>
            </w:pPr>
            <w:r>
              <w:rPr>
                <w:rFonts w:hint="eastAsia" w:ascii="宋体" w:hAnsi="宋体" w:eastAsia="宋体" w:cs="宋体"/>
                <w:bCs/>
                <w:color w:val="auto"/>
                <w:kern w:val="2"/>
                <w:sz w:val="21"/>
                <w:szCs w:val="21"/>
                <w:highlight w:val="none"/>
                <w:lang w:val="en-US" w:bidi="ar-SA"/>
              </w:rPr>
              <w:t>（1）由评委独立地根据各项指标的评分标准，结合每个投标人的实际情况，分别就各项指标对每个投标人独立打分，需要统一打分的客观评分，由主任评委组织各评委统一评审。</w:t>
            </w:r>
          </w:p>
          <w:p>
            <w:pPr>
              <w:keepNext w:val="0"/>
              <w:pageBreakBefore w:val="0"/>
              <w:widowControl/>
              <w:kinsoku/>
              <w:wordWrap/>
              <w:overflowPunct/>
              <w:topLinePunct w:val="0"/>
              <w:autoSpaceDE/>
              <w:autoSpaceDN/>
              <w:bidi w:val="0"/>
              <w:spacing w:before="0" w:after="0" w:line="336" w:lineRule="auto"/>
              <w:ind w:left="0" w:right="0"/>
              <w:jc w:val="left"/>
              <w:textAlignment w:val="auto"/>
              <w:rPr>
                <w:rFonts w:hint="eastAsia" w:ascii="宋体" w:hAnsi="宋体" w:eastAsia="宋体" w:cs="宋体"/>
                <w:bCs/>
                <w:color w:val="auto"/>
                <w:kern w:val="2"/>
                <w:sz w:val="21"/>
                <w:szCs w:val="21"/>
                <w:highlight w:val="none"/>
                <w:lang w:val="en-US" w:bidi="ar-SA"/>
              </w:rPr>
            </w:pPr>
            <w:r>
              <w:rPr>
                <w:rFonts w:hint="eastAsia" w:ascii="宋体" w:hAnsi="宋体" w:eastAsia="宋体" w:cs="宋体"/>
                <w:bCs/>
                <w:color w:val="auto"/>
                <w:kern w:val="2"/>
                <w:sz w:val="21"/>
                <w:szCs w:val="21"/>
                <w:highlight w:val="none"/>
                <w:lang w:val="en-US" w:bidi="ar-SA"/>
              </w:rPr>
              <w:t>（2）</w:t>
            </w:r>
            <w:r>
              <w:rPr>
                <w:rFonts w:hint="eastAsia" w:ascii="Calibri" w:hAnsi="Calibri" w:eastAsia="宋体" w:cs="Times New Roman"/>
                <w:color w:val="auto"/>
                <w:sz w:val="21"/>
                <w:szCs w:val="20"/>
                <w:highlight w:val="none"/>
                <w:lang w:val="en-US" w:bidi="ar-SA"/>
              </w:rPr>
              <w:t>投标报价得分采用低价优先法计算，即满足采购文件要求且投标价格最低的投标报价为评标基准价，其投标报价得分为满分。其他投标人的投标报价得分统一按照下列公式计算：投标报价得分=（投标报价/评标基准价）×报价权重×100。</w:t>
            </w:r>
          </w:p>
          <w:p>
            <w:pPr>
              <w:keepNext w:val="0"/>
              <w:pageBreakBefore w:val="0"/>
              <w:widowControl w:val="0"/>
              <w:kinsoku/>
              <w:wordWrap/>
              <w:overflowPunct/>
              <w:topLinePunct w:val="0"/>
              <w:autoSpaceDE/>
              <w:autoSpaceDN/>
              <w:bidi w:val="0"/>
              <w:spacing w:before="0" w:after="0" w:line="360" w:lineRule="auto"/>
              <w:ind w:left="0" w:right="0"/>
              <w:jc w:val="both"/>
              <w:textAlignment w:val="auto"/>
              <w:rPr>
                <w:rFonts w:hint="eastAsia" w:ascii="宋体" w:hAnsi="宋体" w:eastAsia="宋体" w:cs="宋体"/>
                <w:bCs/>
                <w:color w:val="auto"/>
                <w:kern w:val="2"/>
                <w:sz w:val="21"/>
                <w:szCs w:val="21"/>
                <w:highlight w:val="none"/>
                <w:lang w:val="en-US" w:bidi="ar-SA"/>
              </w:rPr>
            </w:pPr>
            <w:r>
              <w:rPr>
                <w:rFonts w:hint="eastAsia" w:ascii="宋体" w:hAnsi="宋体" w:eastAsia="宋体" w:cs="宋体"/>
                <w:bCs/>
                <w:color w:val="auto"/>
                <w:kern w:val="2"/>
                <w:sz w:val="21"/>
                <w:szCs w:val="21"/>
                <w:highlight w:val="none"/>
                <w:lang w:val="en-US" w:bidi="ar-SA"/>
              </w:rPr>
              <w:t>（3）投标最终得分=商务标得分+技术标得分+投标报价得分。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9" w:hRule="atLeast"/>
          <w:jc w:val="center"/>
        </w:trPr>
        <w:tc>
          <w:tcPr>
            <w:tcW w:w="728"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10</w:t>
            </w:r>
          </w:p>
        </w:tc>
        <w:tc>
          <w:tcPr>
            <w:tcW w:w="8711"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评标委员会将推荐最终得分排名前3名的投标人为本项目的中标候选人，计算最终得分时将四舍五入后，小数点后保留两位有效数；最终得分相同的，将依次按投标报价得分、技术指标得分进行排序，并确定排序在前的投标人为中标候选人或者采取随机抽取方式确定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2" w:hRule="atLeast"/>
          <w:jc w:val="center"/>
        </w:trPr>
        <w:tc>
          <w:tcPr>
            <w:tcW w:w="728"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11</w:t>
            </w:r>
          </w:p>
        </w:tc>
        <w:tc>
          <w:tcPr>
            <w:tcW w:w="8711"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本项目按以下方式确定中标人（标注“■”为确定方式）：</w:t>
            </w:r>
          </w:p>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□由采购人授权评标委员会依照中标候选人排序依法确定1名中标人</w:t>
            </w:r>
          </w:p>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■由采购人依照中标候选人排序依法确定</w:t>
            </w:r>
            <w:r>
              <w:rPr>
                <w:rFonts w:hint="eastAsia" w:cs="宋体"/>
                <w:color w:val="auto"/>
                <w:sz w:val="21"/>
                <w:szCs w:val="21"/>
                <w:highlight w:val="none"/>
                <w:lang w:val="en-US" w:eastAsia="zh-CN" w:bidi="ar-SA"/>
              </w:rPr>
              <w:t>1</w:t>
            </w:r>
            <w:r>
              <w:rPr>
                <w:rFonts w:hint="eastAsia" w:ascii="宋体" w:hAnsi="宋体" w:eastAsia="宋体" w:cs="宋体"/>
                <w:color w:val="auto"/>
                <w:sz w:val="21"/>
                <w:szCs w:val="21"/>
                <w:highlight w:val="none"/>
                <w:lang w:val="en-US" w:eastAsia="zh-CN" w:bidi="ar-SA"/>
              </w:rPr>
              <w:t>名中标人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439" w:type="dxa"/>
            <w:gridSpan w:val="2"/>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8"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12</w:t>
            </w:r>
          </w:p>
        </w:tc>
        <w:tc>
          <w:tcPr>
            <w:tcW w:w="8711"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代理服务费：无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728" w:type="dxa"/>
            <w:vMerge w:val="restart"/>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13</w:t>
            </w:r>
          </w:p>
        </w:tc>
        <w:tc>
          <w:tcPr>
            <w:tcW w:w="8711"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8" w:type="dxa"/>
            <w:vMerge w:val="continue"/>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p>
        </w:tc>
        <w:tc>
          <w:tcPr>
            <w:tcW w:w="8711"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本项目相关公告在以下媒体发布（标注“■”为发布媒体）：</w:t>
            </w:r>
          </w:p>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■香洲区第二人民医院</w:t>
            </w:r>
            <w:r>
              <w:rPr>
                <w:rFonts w:hint="eastAsia" w:cs="宋体"/>
                <w:color w:val="auto"/>
                <w:sz w:val="21"/>
                <w:szCs w:val="21"/>
                <w:highlight w:val="none"/>
                <w:lang w:val="en-US" w:eastAsia="zh-CN" w:bidi="ar-SA"/>
              </w:rPr>
              <w:t>官网</w:t>
            </w:r>
          </w:p>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相关公告在媒体上公布之日即视为有效送达，不再另行通知。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8" w:type="dxa"/>
            <w:vMerge w:val="continue"/>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p>
        </w:tc>
        <w:tc>
          <w:tcPr>
            <w:tcW w:w="8711"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如投标人认为本招标文件中存在“不合理的条件对投标人实行差别待遇或者歧视待遇”，或者对其他任何条款有异议，应当在获取招标文件或者招标文件公告期限届满之日起7个工作日内提出（投标人在法定质疑期内须一次性提出针对同一采购程序环节的质疑，针对同一采购程序环节提出的多次质疑将不予受理），否则视为无异议，采购人将不再受理此后对招标文件的任何异议。</w:t>
            </w:r>
          </w:p>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接收质疑函的方式：书面形式。</w:t>
            </w:r>
          </w:p>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联系人：刘先生    联系电话：0756-8288723</w:t>
            </w:r>
          </w:p>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通讯地址：珠海市香洲区第二人民医院保障楼207室</w:t>
            </w:r>
          </w:p>
        </w:tc>
      </w:tr>
    </w:tbl>
    <w:p>
      <w:pPr>
        <w:spacing w:line="360" w:lineRule="auto"/>
        <w:jc w:val="center"/>
        <w:rPr>
          <w:rFonts w:hint="eastAsia" w:cs="宋体"/>
          <w:b/>
          <w:kern w:val="28"/>
          <w:sz w:val="32"/>
          <w:szCs w:val="32"/>
          <w:lang w:val="en-US" w:eastAsia="zh-CN"/>
        </w:rPr>
      </w:pPr>
    </w:p>
    <w:p>
      <w:pPr>
        <w:rPr>
          <w:rFonts w:hint="eastAsia"/>
          <w:lang w:val="en-US" w:eastAsia="zh-CN"/>
        </w:rPr>
      </w:pPr>
    </w:p>
    <w:p>
      <w:pPr>
        <w:spacing w:line="360" w:lineRule="auto"/>
        <w:jc w:val="center"/>
        <w:rPr>
          <w:rFonts w:hint="eastAsia" w:cs="宋体"/>
          <w:b/>
          <w:kern w:val="28"/>
          <w:sz w:val="32"/>
          <w:szCs w:val="32"/>
          <w:lang w:val="en-US" w:eastAsia="zh-CN"/>
        </w:rPr>
        <w:sectPr>
          <w:pgSz w:w="11906" w:h="16838"/>
          <w:pgMar w:top="1434" w:right="1474" w:bottom="1434" w:left="1474" w:header="851" w:footer="992" w:gutter="0"/>
          <w:pgNumType w:fmt="decimal"/>
          <w:cols w:space="425" w:num="1"/>
          <w:docGrid w:type="lines" w:linePitch="312" w:charSpace="0"/>
        </w:sectPr>
      </w:pPr>
    </w:p>
    <w:p>
      <w:pPr>
        <w:spacing w:line="360" w:lineRule="auto"/>
        <w:jc w:val="center"/>
        <w:rPr>
          <w:rFonts w:hint="eastAsia" w:ascii="宋体" w:hAnsi="宋体" w:cs="宋体"/>
          <w:b/>
          <w:kern w:val="28"/>
          <w:sz w:val="32"/>
          <w:szCs w:val="32"/>
          <w:lang w:val="en-US" w:eastAsia="zh-CN"/>
        </w:rPr>
      </w:pPr>
      <w:r>
        <w:rPr>
          <w:rFonts w:hint="eastAsia" w:cs="宋体"/>
          <w:b/>
          <w:kern w:val="28"/>
          <w:sz w:val="32"/>
          <w:szCs w:val="32"/>
          <w:lang w:val="en-US" w:eastAsia="zh-CN"/>
        </w:rPr>
        <w:t xml:space="preserve">第四部分 </w:t>
      </w:r>
      <w:r>
        <w:rPr>
          <w:rFonts w:hint="eastAsia" w:ascii="宋体" w:hAnsi="宋体" w:cs="宋体"/>
          <w:b/>
          <w:kern w:val="28"/>
          <w:sz w:val="32"/>
          <w:szCs w:val="32"/>
          <w:lang w:val="en-US" w:eastAsia="zh-CN"/>
        </w:rPr>
        <w:t>评标方法与标准</w:t>
      </w:r>
    </w:p>
    <w:p>
      <w:pPr>
        <w:keepNext w:val="0"/>
        <w:keepLines w:val="0"/>
        <w:pageBreakBefore w:val="0"/>
        <w:widowControl w:val="0"/>
        <w:kinsoku/>
        <w:wordWrap/>
        <w:overflowPunct/>
        <w:topLinePunct w:val="0"/>
        <w:autoSpaceDE w:val="0"/>
        <w:autoSpaceDN w:val="0"/>
        <w:bidi w:val="0"/>
        <w:adjustRightInd/>
        <w:snapToGrid/>
        <w:spacing w:line="24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1.本项目采用综合评分法。满足采购文件全部实质性要求，且按照评审因素的量化指标评审得分最高的供应商为成交候选人。</w:t>
      </w:r>
    </w:p>
    <w:p>
      <w:pPr>
        <w:keepNext w:val="0"/>
        <w:keepLines w:val="0"/>
        <w:pageBreakBefore w:val="0"/>
        <w:widowControl w:val="0"/>
        <w:kinsoku/>
        <w:wordWrap/>
        <w:overflowPunct/>
        <w:topLinePunct w:val="0"/>
        <w:autoSpaceDE w:val="0"/>
        <w:autoSpaceDN w:val="0"/>
        <w:bidi w:val="0"/>
        <w:adjustRightInd/>
        <w:snapToGrid/>
        <w:spacing w:line="24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评标小组先对所有投标人进行资格性审查和符合性审查。投标人必须严格按照《资格性、符合性审查表》的评审内容的要求如实提供证明材料并应加盖投标人公章，若投标人不满足《资格性、符合性审查表》中任何情形之一的，则其投标无效。</w:t>
      </w:r>
    </w:p>
    <w:p>
      <w:pPr>
        <w:keepNext w:val="0"/>
        <w:keepLines w:val="0"/>
        <w:pageBreakBefore w:val="0"/>
        <w:widowControl w:val="0"/>
        <w:kinsoku/>
        <w:wordWrap/>
        <w:overflowPunct/>
        <w:topLinePunct w:val="0"/>
        <w:autoSpaceDE w:val="0"/>
        <w:autoSpaceDN w:val="0"/>
        <w:bidi w:val="0"/>
        <w:adjustRightInd/>
        <w:snapToGrid/>
        <w:spacing w:line="240" w:lineRule="auto"/>
        <w:ind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3.评标小组对通过《资格性、符合性审查表》的投标文件进行详细评审，评标小组对每一投标文件进行详细技术、商务、价格评审，评出其技术商务评分（四舍五入后，小数点后保留两位有效数）。然后，评出价格得分，将技术商务得分和价格得分相加得出综合得分，并按综合得分从高到低依次排名，出现并列得分时，价格低者优先；得分相同且价格相同的，技术得分高者优先。</w:t>
      </w:r>
    </w:p>
    <w:p>
      <w:pPr>
        <w:keepNext w:val="0"/>
        <w:keepLines w:val="0"/>
        <w:pageBreakBefore w:val="0"/>
        <w:widowControl w:val="0"/>
        <w:kinsoku/>
        <w:wordWrap/>
        <w:overflowPunct/>
        <w:topLinePunct w:val="0"/>
        <w:autoSpaceDE w:val="0"/>
        <w:autoSpaceDN w:val="0"/>
        <w:bidi w:val="0"/>
        <w:adjustRightInd/>
        <w:snapToGrid/>
        <w:spacing w:line="240"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4.资格性、符合性审查标准：详见附表1；</w:t>
      </w:r>
    </w:p>
    <w:p>
      <w:pPr>
        <w:keepNext w:val="0"/>
        <w:keepLines w:val="0"/>
        <w:pageBreakBefore w:val="0"/>
        <w:widowControl w:val="0"/>
        <w:kinsoku/>
        <w:wordWrap/>
        <w:overflowPunct/>
        <w:topLinePunct w:val="0"/>
        <w:autoSpaceDE w:val="0"/>
        <w:autoSpaceDN w:val="0"/>
        <w:bidi w:val="0"/>
        <w:adjustRightInd/>
        <w:snapToGrid/>
        <w:spacing w:line="240"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5.技术商务评分标准：详见附表2；</w:t>
      </w:r>
    </w:p>
    <w:p>
      <w:pPr>
        <w:keepNext w:val="0"/>
        <w:keepLines w:val="0"/>
        <w:pageBreakBefore w:val="0"/>
        <w:widowControl w:val="0"/>
        <w:kinsoku/>
        <w:wordWrap/>
        <w:overflowPunct/>
        <w:topLinePunct w:val="0"/>
        <w:autoSpaceDE w:val="0"/>
        <w:autoSpaceDN w:val="0"/>
        <w:bidi w:val="0"/>
        <w:adjustRightInd/>
        <w:snapToGrid/>
        <w:spacing w:line="240"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价格评审标准（详见附表3）：满足招标文件要求且评标价格最低的为评标基准价，其价格分为满分。其他投标人的价格分统一按照下列公式计算：投标报价得分（精确到小数点后2位）=(评标基准价／评标价格)×权重分配</w:t>
      </w:r>
    </w:p>
    <w:p>
      <w:pPr>
        <w:spacing w:line="240" w:lineRule="auto"/>
        <w:ind w:firstLine="440" w:firstLineChars="200"/>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权重分配</w:t>
      </w:r>
    </w:p>
    <w:tbl>
      <w:tblPr>
        <w:tblStyle w:val="16"/>
        <w:tblW w:w="760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481"/>
        <w:gridCol w:w="3118"/>
        <w:gridCol w:w="200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2481" w:type="dxa"/>
            <w:tcBorders>
              <w:top w:val="double" w:color="auto" w:sz="4" w:space="0"/>
              <w:bottom w:val="single" w:color="auto" w:sz="6" w:space="0"/>
            </w:tcBorders>
            <w:shd w:val="clear" w:color="auto" w:fill="D9D9D9"/>
            <w:vAlign w:val="center"/>
          </w:tcPr>
          <w:p>
            <w:pPr>
              <w:autoSpaceDE/>
              <w:autoSpaceDN/>
              <w:snapToGrid w:val="0"/>
              <w:spacing w:line="240" w:lineRule="auto"/>
              <w:ind w:firstLine="0" w:firstLineChar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评分项目</w:t>
            </w:r>
          </w:p>
        </w:tc>
        <w:tc>
          <w:tcPr>
            <w:tcW w:w="3118" w:type="dxa"/>
            <w:tcBorders>
              <w:top w:val="double" w:color="auto" w:sz="4" w:space="0"/>
              <w:bottom w:val="single" w:color="auto" w:sz="6" w:space="0"/>
            </w:tcBorders>
            <w:shd w:val="clear" w:color="auto" w:fill="D9D9D9"/>
            <w:vAlign w:val="center"/>
          </w:tcPr>
          <w:p>
            <w:pPr>
              <w:autoSpaceDE/>
              <w:autoSpaceDN/>
              <w:snapToGrid w:val="0"/>
              <w:spacing w:line="24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技术商务部分</w:t>
            </w:r>
          </w:p>
        </w:tc>
        <w:tc>
          <w:tcPr>
            <w:tcW w:w="2006" w:type="dxa"/>
            <w:tcBorders>
              <w:top w:val="double" w:color="auto" w:sz="4" w:space="0"/>
              <w:bottom w:val="single" w:color="auto" w:sz="6" w:space="0"/>
            </w:tcBorders>
            <w:shd w:val="clear" w:color="auto" w:fill="D9D9D9"/>
            <w:vAlign w:val="center"/>
          </w:tcPr>
          <w:p>
            <w:pPr>
              <w:autoSpaceDE/>
              <w:autoSpaceDN/>
              <w:snapToGrid w:val="0"/>
              <w:spacing w:line="24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价格部分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2481" w:type="dxa"/>
            <w:tcBorders>
              <w:top w:val="single" w:color="auto" w:sz="6" w:space="0"/>
            </w:tcBorders>
            <w:vAlign w:val="center"/>
          </w:tcPr>
          <w:p>
            <w:pPr>
              <w:autoSpaceDE/>
              <w:autoSpaceDN/>
              <w:snapToGrid w:val="0"/>
              <w:spacing w:line="240" w:lineRule="auto"/>
              <w:ind w:firstLine="0" w:firstLineChar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分    值</w:t>
            </w:r>
          </w:p>
        </w:tc>
        <w:tc>
          <w:tcPr>
            <w:tcW w:w="3118" w:type="dxa"/>
            <w:tcBorders>
              <w:top w:val="single" w:color="auto" w:sz="6" w:space="0"/>
            </w:tcBorders>
            <w:vAlign w:val="center"/>
          </w:tcPr>
          <w:p>
            <w:pPr>
              <w:autoSpaceDE/>
              <w:autoSpaceDN/>
              <w:snapToGrid w:val="0"/>
              <w:spacing w:line="240" w:lineRule="auto"/>
              <w:jc w:val="center"/>
              <w:rPr>
                <w:rFonts w:hint="eastAsia" w:ascii="宋体" w:hAnsi="宋体" w:eastAsia="宋体" w:cs="宋体"/>
                <w:b/>
                <w:color w:val="auto"/>
                <w:sz w:val="22"/>
                <w:szCs w:val="22"/>
                <w:highlight w:val="none"/>
              </w:rPr>
            </w:pPr>
            <w:r>
              <w:rPr>
                <w:rFonts w:hint="eastAsia" w:cs="宋体"/>
                <w:b/>
                <w:color w:val="auto"/>
                <w:sz w:val="22"/>
                <w:szCs w:val="22"/>
                <w:highlight w:val="none"/>
                <w:lang w:val="en-US" w:eastAsia="zh-CN"/>
              </w:rPr>
              <w:t>7</w:t>
            </w:r>
            <w:r>
              <w:rPr>
                <w:rFonts w:hint="eastAsia" w:ascii="宋体" w:hAnsi="宋体" w:eastAsia="宋体" w:cs="宋体"/>
                <w:b/>
                <w:color w:val="auto"/>
                <w:sz w:val="22"/>
                <w:szCs w:val="22"/>
                <w:highlight w:val="none"/>
              </w:rPr>
              <w:t>0分</w:t>
            </w:r>
          </w:p>
        </w:tc>
        <w:tc>
          <w:tcPr>
            <w:tcW w:w="2006" w:type="dxa"/>
            <w:tcBorders>
              <w:top w:val="single" w:color="auto" w:sz="6" w:space="0"/>
            </w:tcBorders>
            <w:vAlign w:val="center"/>
          </w:tcPr>
          <w:p>
            <w:pPr>
              <w:autoSpaceDE/>
              <w:autoSpaceDN/>
              <w:snapToGrid w:val="0"/>
              <w:spacing w:line="240" w:lineRule="auto"/>
              <w:ind w:firstLine="0" w:firstLineChars="0"/>
              <w:jc w:val="center"/>
              <w:rPr>
                <w:rFonts w:hint="eastAsia" w:ascii="宋体" w:hAnsi="宋体" w:eastAsia="宋体" w:cs="宋体"/>
                <w:b/>
                <w:color w:val="auto"/>
                <w:sz w:val="22"/>
                <w:szCs w:val="22"/>
                <w:highlight w:val="none"/>
              </w:rPr>
            </w:pPr>
            <w:r>
              <w:rPr>
                <w:rFonts w:hint="eastAsia" w:cs="宋体"/>
                <w:b/>
                <w:color w:val="auto"/>
                <w:sz w:val="22"/>
                <w:szCs w:val="22"/>
                <w:highlight w:val="none"/>
                <w:lang w:val="en-US" w:eastAsia="zh-CN"/>
              </w:rPr>
              <w:t>3</w:t>
            </w:r>
            <w:r>
              <w:rPr>
                <w:rFonts w:hint="eastAsia" w:ascii="宋体" w:hAnsi="宋体" w:eastAsia="宋体" w:cs="宋体"/>
                <w:b/>
                <w:color w:val="auto"/>
                <w:sz w:val="22"/>
                <w:szCs w:val="22"/>
                <w:highlight w:val="none"/>
              </w:rPr>
              <w:t>0分</w:t>
            </w:r>
          </w:p>
        </w:tc>
      </w:tr>
    </w:tbl>
    <w:p>
      <w:pPr>
        <w:keepNext w:val="0"/>
        <w:keepLines w:val="0"/>
        <w:pageBreakBefore w:val="0"/>
        <w:widowControl w:val="0"/>
        <w:kinsoku/>
        <w:wordWrap/>
        <w:overflowPunct/>
        <w:topLinePunct w:val="0"/>
        <w:autoSpaceDE w:val="0"/>
        <w:autoSpaceDN w:val="0"/>
        <w:bidi w:val="0"/>
        <w:adjustRightInd/>
        <w:snapToGrid/>
        <w:spacing w:line="240"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7.评标小组认为投标人的报价明显低于其他通过资格性、符合性审查投标人的报价，有可能影响产品质量或者不能诚信履约的，应当要求其在评标现场合理的时间内提供书面说明和相关证明材料；投标人不能证明其报价合理性的，评标小组应当将其作为无效投标处理。</w:t>
      </w:r>
    </w:p>
    <w:p>
      <w:pPr>
        <w:keepNext w:val="0"/>
        <w:keepLines w:val="0"/>
        <w:pageBreakBefore w:val="0"/>
        <w:widowControl w:val="0"/>
        <w:kinsoku/>
        <w:wordWrap/>
        <w:overflowPunct/>
        <w:topLinePunct w:val="0"/>
        <w:autoSpaceDE w:val="0"/>
        <w:autoSpaceDN w:val="0"/>
        <w:bidi w:val="0"/>
        <w:adjustRightInd/>
        <w:snapToGrid/>
        <w:spacing w:line="240"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8.汇总、排序。评标小组根据综合评分情况按照最终得分由高到低推荐3名成交候选人。评审总得分相同的，按下列顺序比较确定：（1）最后报价（由低到高）。（2）最后报价相同的，按技术得分由高到低顺序排列。如最后报价和技术得分都相同的，名次由评标小组抽签确定。</w:t>
      </w:r>
    </w:p>
    <w:p>
      <w:pPr>
        <w:keepNext w:val="0"/>
        <w:keepLines w:val="0"/>
        <w:pageBreakBefore w:val="0"/>
        <w:widowControl w:val="0"/>
        <w:kinsoku/>
        <w:wordWrap/>
        <w:overflowPunct/>
        <w:topLinePunct w:val="0"/>
        <w:autoSpaceDE w:val="0"/>
        <w:autoSpaceDN w:val="0"/>
        <w:bidi w:val="0"/>
        <w:adjustRightInd/>
        <w:snapToGrid/>
        <w:spacing w:line="240" w:lineRule="auto"/>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lang w:eastAsia="zh-CN"/>
        </w:rPr>
        <w:t>（</w:t>
      </w:r>
      <w:r>
        <w:rPr>
          <w:rFonts w:hint="eastAsia" w:ascii="宋体" w:hAnsi="宋体" w:eastAsia="宋体" w:cs="宋体"/>
          <w:b/>
          <w:bCs/>
          <w:sz w:val="22"/>
          <w:szCs w:val="22"/>
          <w:lang w:val="en-US" w:eastAsia="zh-CN"/>
        </w:rPr>
        <w:t>二</w:t>
      </w:r>
      <w:r>
        <w:rPr>
          <w:rFonts w:hint="eastAsia" w:ascii="宋体" w:hAnsi="宋体" w:eastAsia="宋体" w:cs="宋体"/>
          <w:b/>
          <w:bCs/>
          <w:sz w:val="22"/>
          <w:szCs w:val="22"/>
          <w:lang w:eastAsia="zh-CN"/>
        </w:rPr>
        <w:t>）</w:t>
      </w:r>
      <w:r>
        <w:rPr>
          <w:rFonts w:hint="eastAsia" w:ascii="宋体" w:hAnsi="宋体" w:eastAsia="宋体" w:cs="宋体"/>
          <w:b/>
          <w:bCs/>
          <w:sz w:val="22"/>
          <w:szCs w:val="22"/>
        </w:rPr>
        <w:t>成交供应商的确定、替补候选人的设定与使用</w:t>
      </w:r>
    </w:p>
    <w:p>
      <w:pPr>
        <w:keepNext w:val="0"/>
        <w:keepLines w:val="0"/>
        <w:pageBreakBefore w:val="0"/>
        <w:widowControl w:val="0"/>
        <w:kinsoku/>
        <w:wordWrap/>
        <w:overflowPunct/>
        <w:topLinePunct w:val="0"/>
        <w:autoSpaceDE w:val="0"/>
        <w:autoSpaceDN w:val="0"/>
        <w:bidi w:val="0"/>
        <w:adjustRightInd/>
        <w:snapToGrid/>
        <w:spacing w:line="24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1.评标小组依照</w:t>
      </w:r>
      <w:r>
        <w:rPr>
          <w:rFonts w:hint="eastAsia" w:ascii="宋体" w:hAnsi="宋体" w:eastAsia="宋体" w:cs="宋体"/>
          <w:sz w:val="22"/>
          <w:szCs w:val="22"/>
          <w:lang w:val="en-US" w:eastAsia="zh-CN"/>
        </w:rPr>
        <w:t>中标</w:t>
      </w:r>
      <w:r>
        <w:rPr>
          <w:rFonts w:hint="eastAsia" w:ascii="宋体" w:hAnsi="宋体" w:eastAsia="宋体" w:cs="宋体"/>
          <w:sz w:val="22"/>
          <w:szCs w:val="22"/>
        </w:rPr>
        <w:t>候选人排序依规确定1名成交供应商。</w:t>
      </w:r>
    </w:p>
    <w:p>
      <w:pPr>
        <w:keepNext w:val="0"/>
        <w:keepLines w:val="0"/>
        <w:pageBreakBefore w:val="0"/>
        <w:widowControl w:val="0"/>
        <w:kinsoku/>
        <w:wordWrap/>
        <w:overflowPunct/>
        <w:topLinePunct w:val="0"/>
        <w:autoSpaceDE w:val="0"/>
        <w:autoSpaceDN w:val="0"/>
        <w:bidi w:val="0"/>
        <w:adjustRightInd/>
        <w:snapToGrid/>
        <w:spacing w:line="24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2.中标人因不可抗力或者自身原因不能履行采购合同的，采购人可以与排位在中标人之后第一位的中标候选人签订采购合同（以此类推，但中标资格只顺延给中标候选人），或者重新组织采购确定中标人。</w:t>
      </w:r>
    </w:p>
    <w:p>
      <w:pPr>
        <w:keepNext w:val="0"/>
        <w:keepLines w:val="0"/>
        <w:pageBreakBefore w:val="0"/>
        <w:widowControl w:val="0"/>
        <w:kinsoku/>
        <w:wordWrap/>
        <w:overflowPunct/>
        <w:topLinePunct w:val="0"/>
        <w:autoSpaceDE w:val="0"/>
        <w:autoSpaceDN w:val="0"/>
        <w:bidi w:val="0"/>
        <w:adjustRightInd/>
        <w:snapToGrid/>
        <w:spacing w:line="240" w:lineRule="auto"/>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lang w:eastAsia="zh-CN"/>
        </w:rPr>
        <w:t>（</w:t>
      </w:r>
      <w:r>
        <w:rPr>
          <w:rFonts w:hint="eastAsia" w:ascii="宋体" w:hAnsi="宋体" w:eastAsia="宋体" w:cs="宋体"/>
          <w:b/>
          <w:bCs/>
          <w:sz w:val="22"/>
          <w:szCs w:val="22"/>
          <w:lang w:val="en-US" w:eastAsia="zh-CN"/>
        </w:rPr>
        <w:t>三</w:t>
      </w:r>
      <w:r>
        <w:rPr>
          <w:rFonts w:hint="eastAsia" w:ascii="宋体" w:hAnsi="宋体" w:eastAsia="宋体" w:cs="宋体"/>
          <w:b/>
          <w:bCs/>
          <w:sz w:val="22"/>
          <w:szCs w:val="22"/>
          <w:lang w:eastAsia="zh-CN"/>
        </w:rPr>
        <w:t>）</w:t>
      </w:r>
      <w:r>
        <w:rPr>
          <w:rFonts w:hint="eastAsia" w:ascii="宋体" w:hAnsi="宋体" w:eastAsia="宋体" w:cs="宋体"/>
          <w:b/>
          <w:bCs/>
          <w:sz w:val="22"/>
          <w:szCs w:val="22"/>
        </w:rPr>
        <w:t>中标签订合同</w:t>
      </w:r>
    </w:p>
    <w:p>
      <w:pPr>
        <w:keepNext w:val="0"/>
        <w:keepLines w:val="0"/>
        <w:pageBreakBefore w:val="0"/>
        <w:widowControl w:val="0"/>
        <w:kinsoku/>
        <w:wordWrap/>
        <w:overflowPunct/>
        <w:topLinePunct w:val="0"/>
        <w:autoSpaceDE w:val="0"/>
        <w:autoSpaceDN w:val="0"/>
        <w:bidi w:val="0"/>
        <w:adjustRightInd/>
        <w:snapToGrid/>
        <w:spacing w:line="24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1.成交结果公示</w:t>
      </w:r>
      <w:r>
        <w:rPr>
          <w:rFonts w:hint="eastAsia" w:ascii="宋体" w:hAnsi="宋体" w:eastAsia="宋体" w:cs="宋体"/>
          <w:sz w:val="22"/>
          <w:szCs w:val="22"/>
          <w:lang w:val="en-US" w:eastAsia="zh-CN"/>
        </w:rPr>
        <w:t>1</w:t>
      </w:r>
      <w:r>
        <w:rPr>
          <w:rFonts w:hint="eastAsia" w:ascii="宋体" w:hAnsi="宋体" w:eastAsia="宋体" w:cs="宋体"/>
          <w:sz w:val="22"/>
          <w:szCs w:val="22"/>
        </w:rPr>
        <w:t>个工作日，公示期内无投标人提出异议的自动确定排名第一的投标单位为中标人。</w:t>
      </w:r>
    </w:p>
    <w:p>
      <w:pPr>
        <w:keepNext w:val="0"/>
        <w:keepLines w:val="0"/>
        <w:pageBreakBefore w:val="0"/>
        <w:widowControl w:val="0"/>
        <w:kinsoku/>
        <w:wordWrap/>
        <w:overflowPunct/>
        <w:topLinePunct w:val="0"/>
        <w:autoSpaceDE w:val="0"/>
        <w:autoSpaceDN w:val="0"/>
        <w:bidi w:val="0"/>
        <w:adjustRightInd/>
        <w:snapToGrid/>
        <w:spacing w:line="240" w:lineRule="auto"/>
        <w:ind w:firstLine="440" w:firstLineChars="200"/>
        <w:textAlignment w:val="auto"/>
        <w:rPr>
          <w:rFonts w:hint="eastAsia" w:ascii="宋体" w:hAnsi="宋体" w:eastAsia="宋体" w:cs="宋体"/>
          <w:sz w:val="22"/>
          <w:szCs w:val="22"/>
        </w:rPr>
        <w:sectPr>
          <w:pgSz w:w="11906" w:h="16838"/>
          <w:pgMar w:top="1434" w:right="1474" w:bottom="1434" w:left="1474" w:header="851" w:footer="992" w:gutter="0"/>
          <w:pgNumType w:fmt="decimal"/>
          <w:cols w:space="425" w:num="1"/>
          <w:docGrid w:type="lines" w:linePitch="312" w:charSpace="0"/>
        </w:sectPr>
      </w:pPr>
      <w:r>
        <w:rPr>
          <w:rFonts w:hint="eastAsia" w:ascii="宋体" w:hAnsi="宋体" w:eastAsia="宋体" w:cs="宋体"/>
          <w:sz w:val="22"/>
          <w:szCs w:val="22"/>
        </w:rPr>
        <w:t>2.中标公示结束后30日内签订采购合同，中标单位拒绝签订采购合同的，三年内不得参加本单位所有的采购项目。</w:t>
      </w:r>
    </w:p>
    <w:p>
      <w:pPr>
        <w:widowControl w:val="0"/>
        <w:spacing w:line="360" w:lineRule="auto"/>
        <w:ind w:firstLine="0" w:firstLineChars="0"/>
        <w:jc w:val="left"/>
        <w:rPr>
          <w:rFonts w:ascii="Calibri" w:hAnsi="Calibri" w:eastAsia="宋体" w:cs="Times New Roman"/>
          <w:b/>
          <w:color w:val="auto"/>
          <w:sz w:val="24"/>
          <w:highlight w:val="none"/>
          <w:lang w:val="en-US" w:eastAsia="zh-CN" w:bidi="ar-SA"/>
        </w:rPr>
      </w:pPr>
      <w:r>
        <w:rPr>
          <w:rFonts w:hint="eastAsia" w:ascii="Calibri" w:hAnsi="Calibri" w:eastAsia="宋体" w:cs="Times New Roman"/>
          <w:b/>
          <w:color w:val="auto"/>
          <w:sz w:val="24"/>
          <w:highlight w:val="none"/>
          <w:lang w:val="en-US" w:eastAsia="zh-CN" w:bidi="ar-SA"/>
        </w:rPr>
        <w:t>附表1：资格性、符合性审查表</w:t>
      </w:r>
    </w:p>
    <w:p>
      <w:pPr>
        <w:widowControl/>
        <w:autoSpaceDE/>
        <w:autoSpaceDN/>
        <w:spacing w:before="0" w:after="0" w:line="300" w:lineRule="exact"/>
        <w:ind w:left="0" w:right="0"/>
        <w:jc w:val="left"/>
        <w:rPr>
          <w:rFonts w:hint="eastAsia" w:ascii="宋体" w:hAnsi="宋体" w:cs="宋体"/>
          <w:color w:val="auto"/>
          <w:sz w:val="21"/>
          <w:szCs w:val="20"/>
          <w:highlight w:val="none"/>
          <w:lang w:val="en-US" w:eastAsia="zh-CN" w:bidi="ar-SA"/>
        </w:rPr>
      </w:pPr>
      <w:r>
        <w:rPr>
          <w:rFonts w:hint="eastAsia" w:ascii="宋体" w:hAnsi="宋体" w:cs="宋体"/>
          <w:color w:val="auto"/>
          <w:sz w:val="21"/>
          <w:szCs w:val="20"/>
          <w:highlight w:val="none"/>
          <w:lang w:val="en-US" w:bidi="ar-SA"/>
        </w:rPr>
        <w:t>项目名称：</w:t>
      </w:r>
      <w:r>
        <w:rPr>
          <w:rFonts w:hint="eastAsia" w:ascii="宋体" w:hAnsi="宋体" w:cs="宋体"/>
          <w:color w:val="auto"/>
          <w:sz w:val="21"/>
          <w:szCs w:val="20"/>
          <w:highlight w:val="none"/>
          <w:lang w:val="en-US" w:eastAsia="zh-CN" w:bidi="ar-SA"/>
        </w:rPr>
        <w:t>珠海市香洲区第二人民医院</w:t>
      </w:r>
      <w:r>
        <w:rPr>
          <w:rFonts w:hint="eastAsia" w:cs="宋体"/>
          <w:color w:val="auto"/>
          <w:sz w:val="21"/>
          <w:szCs w:val="20"/>
          <w:highlight w:val="none"/>
          <w:lang w:val="en-US" w:eastAsia="zh-CN" w:bidi="ar-SA"/>
        </w:rPr>
        <w:t>第三方招聘服务年度供应商</w:t>
      </w:r>
      <w:r>
        <w:rPr>
          <w:rFonts w:hint="eastAsia" w:ascii="宋体" w:hAnsi="宋体" w:cs="宋体"/>
          <w:color w:val="auto"/>
          <w:sz w:val="21"/>
          <w:szCs w:val="20"/>
          <w:highlight w:val="none"/>
          <w:lang w:val="en-US" w:eastAsia="zh-CN" w:bidi="ar-SA"/>
        </w:rPr>
        <w:t>采购项目</w:t>
      </w:r>
    </w:p>
    <w:p>
      <w:pPr>
        <w:widowControl/>
        <w:autoSpaceDE/>
        <w:autoSpaceDN/>
        <w:spacing w:before="0" w:after="0" w:line="300" w:lineRule="exact"/>
        <w:ind w:left="0" w:right="0"/>
        <w:jc w:val="left"/>
        <w:rPr>
          <w:rFonts w:hint="default" w:ascii="宋体" w:hAnsi="宋体" w:eastAsia="宋体" w:cs="宋体"/>
          <w:color w:val="auto"/>
          <w:sz w:val="21"/>
          <w:szCs w:val="20"/>
          <w:highlight w:val="none"/>
          <w:lang w:val="en-US" w:eastAsia="zh-CN" w:bidi="ar-SA"/>
        </w:rPr>
      </w:pPr>
      <w:r>
        <w:rPr>
          <w:rFonts w:hint="eastAsia" w:ascii="宋体" w:hAnsi="宋体" w:cs="宋体"/>
          <w:color w:val="auto"/>
          <w:sz w:val="21"/>
          <w:szCs w:val="20"/>
          <w:highlight w:val="none"/>
          <w:lang w:val="en-US" w:bidi="ar-SA"/>
        </w:rPr>
        <w:t>采购编号：HQCG202</w:t>
      </w:r>
      <w:r>
        <w:rPr>
          <w:rFonts w:hint="eastAsia" w:cs="宋体"/>
          <w:color w:val="auto"/>
          <w:sz w:val="21"/>
          <w:szCs w:val="20"/>
          <w:highlight w:val="none"/>
          <w:lang w:val="en-US" w:eastAsia="zh-CN" w:bidi="ar-SA"/>
        </w:rPr>
        <w:t>5009</w:t>
      </w:r>
    </w:p>
    <w:tbl>
      <w:tblPr>
        <w:tblStyle w:val="16"/>
        <w:tblW w:w="926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57" w:type="dxa"/>
          <w:bottom w:w="57" w:type="dxa"/>
          <w:right w:w="57" w:type="dxa"/>
        </w:tblCellMar>
      </w:tblPr>
      <w:tblGrid>
        <w:gridCol w:w="619"/>
        <w:gridCol w:w="6119"/>
        <w:gridCol w:w="906"/>
        <w:gridCol w:w="938"/>
        <w:gridCol w:w="67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323" w:hRule="atLeast"/>
          <w:jc w:val="center"/>
        </w:trPr>
        <w:tc>
          <w:tcPr>
            <w:tcW w:w="619" w:type="dxa"/>
            <w:tcBorders>
              <w:right w:val="single" w:color="auto" w:sz="4" w:space="0"/>
            </w:tcBorders>
            <w:tcMar>
              <w:top w:w="57" w:type="dxa"/>
              <w:left w:w="57" w:type="dxa"/>
              <w:bottom w:w="57" w:type="dxa"/>
              <w:right w:w="57" w:type="dxa"/>
            </w:tcMar>
            <w:vAlign w:val="center"/>
          </w:tcPr>
          <w:p>
            <w:pPr>
              <w:widowControl/>
              <w:autoSpaceDE/>
              <w:autoSpaceDN/>
              <w:spacing w:before="0" w:after="0" w:line="240" w:lineRule="exact"/>
              <w:ind w:left="0" w:right="0"/>
              <w:jc w:val="center"/>
              <w:rPr>
                <w:rFonts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序号</w:t>
            </w:r>
          </w:p>
        </w:tc>
        <w:tc>
          <w:tcPr>
            <w:tcW w:w="6119" w:type="dxa"/>
            <w:tcBorders>
              <w:left w:val="single" w:color="auto" w:sz="4" w:space="0"/>
            </w:tcBorders>
            <w:vAlign w:val="center"/>
          </w:tcPr>
          <w:p>
            <w:pPr>
              <w:widowControl/>
              <w:autoSpaceDE/>
              <w:autoSpaceDN/>
              <w:spacing w:before="0" w:after="0" w:line="240" w:lineRule="exact"/>
              <w:ind w:left="0" w:right="0"/>
              <w:jc w:val="center"/>
              <w:rPr>
                <w:rFonts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审查内容</w:t>
            </w:r>
          </w:p>
        </w:tc>
        <w:tc>
          <w:tcPr>
            <w:tcW w:w="906" w:type="dxa"/>
            <w:tcMar>
              <w:top w:w="57" w:type="dxa"/>
              <w:left w:w="57" w:type="dxa"/>
              <w:bottom w:w="57" w:type="dxa"/>
              <w:right w:w="57" w:type="dxa"/>
            </w:tcMar>
            <w:vAlign w:val="center"/>
          </w:tcPr>
          <w:p>
            <w:pPr>
              <w:widowControl/>
              <w:autoSpaceDE/>
              <w:autoSpaceDN/>
              <w:spacing w:before="0" w:after="0" w:line="240" w:lineRule="exact"/>
              <w:ind w:left="0" w:right="0"/>
              <w:jc w:val="center"/>
              <w:rPr>
                <w:rFonts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投标人1</w:t>
            </w:r>
          </w:p>
        </w:tc>
        <w:tc>
          <w:tcPr>
            <w:tcW w:w="938" w:type="dxa"/>
            <w:vAlign w:val="center"/>
          </w:tcPr>
          <w:p>
            <w:pPr>
              <w:widowControl/>
              <w:autoSpaceDE/>
              <w:autoSpaceDN/>
              <w:spacing w:before="0" w:after="0" w:line="240" w:lineRule="exact"/>
              <w:ind w:left="0" w:right="0"/>
              <w:jc w:val="center"/>
              <w:rPr>
                <w:rFonts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投标人2</w:t>
            </w:r>
          </w:p>
        </w:tc>
        <w:tc>
          <w:tcPr>
            <w:tcW w:w="678" w:type="dxa"/>
            <w:tcMar>
              <w:top w:w="57" w:type="dxa"/>
              <w:left w:w="57" w:type="dxa"/>
              <w:bottom w:w="57" w:type="dxa"/>
              <w:right w:w="57" w:type="dxa"/>
            </w:tcMar>
            <w:vAlign w:val="center"/>
          </w:tcPr>
          <w:p>
            <w:pPr>
              <w:widowControl/>
              <w:autoSpaceDE/>
              <w:autoSpaceDN/>
              <w:spacing w:before="0" w:after="0" w:line="240" w:lineRule="exact"/>
              <w:ind w:left="0" w:right="0"/>
              <w:jc w:val="center"/>
              <w:rPr>
                <w:rFonts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3248" w:hRule="atLeast"/>
          <w:jc w:val="center"/>
        </w:trPr>
        <w:tc>
          <w:tcPr>
            <w:tcW w:w="619" w:type="dxa"/>
            <w:tcBorders>
              <w:right w:val="single" w:color="auto" w:sz="4" w:space="0"/>
            </w:tcBorders>
            <w:tcMar>
              <w:top w:w="57" w:type="dxa"/>
              <w:left w:w="57" w:type="dxa"/>
              <w:bottom w:w="57" w:type="dxa"/>
              <w:right w:w="57" w:type="dxa"/>
            </w:tcMar>
            <w:vAlign w:val="center"/>
          </w:tcPr>
          <w:p>
            <w:pPr>
              <w:widowControl/>
              <w:autoSpaceDE/>
              <w:autoSpaceDN/>
              <w:spacing w:before="0" w:after="0" w:line="240" w:lineRule="exact"/>
              <w:ind w:left="0" w:right="0"/>
              <w:jc w:val="center"/>
              <w:rPr>
                <w:rFonts w:ascii="宋体" w:hAnsi="宋体" w:cs="宋体"/>
                <w:color w:val="auto"/>
                <w:sz w:val="20"/>
                <w:szCs w:val="20"/>
                <w:highlight w:val="none"/>
                <w:lang w:val="en-US" w:bidi="ar-SA"/>
              </w:rPr>
            </w:pPr>
            <w:bookmarkStart w:id="4" w:name="OLE_LINK1" w:colFirst="0" w:colLast="1"/>
            <w:r>
              <w:rPr>
                <w:rFonts w:hint="eastAsia" w:ascii="宋体" w:hAnsi="宋体" w:cs="宋体"/>
                <w:color w:val="auto"/>
                <w:sz w:val="20"/>
                <w:szCs w:val="20"/>
                <w:highlight w:val="none"/>
                <w:lang w:val="en-US" w:bidi="ar-SA"/>
              </w:rPr>
              <w:t>1</w:t>
            </w:r>
          </w:p>
        </w:tc>
        <w:tc>
          <w:tcPr>
            <w:tcW w:w="6119" w:type="dxa"/>
            <w:tcBorders>
              <w:left w:val="single" w:color="auto" w:sz="4" w:space="0"/>
            </w:tcBorders>
            <w:vAlign w:val="center"/>
          </w:tcPr>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符合《中华人民共和国政府采购法》第二十二条规定的条件。</w:t>
            </w:r>
          </w:p>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1）具有独立承担民事责任的能力：在中华人民共和国境内注册的法人或其他组织或自然人，投标（响应）时提交有效的营业执照（或事业法人登记证或身份证等相关证明）复印件。分支机构投标的，须提供总公司和分公司营业执照复印件，总公司出具给分支机构的授权书。</w:t>
            </w:r>
          </w:p>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（2）有依法缴纳税收和社会保障资金的良好记录：提供《投标人资格声明函》。</w:t>
            </w:r>
          </w:p>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（3）具有良好的商业信誉和健全的财务会计制度：提供《投标人资格声明函》。</w:t>
            </w:r>
          </w:p>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（4）履行合同所必需的设备和专业技术能力：提供《投标人资格声明函》。</w:t>
            </w:r>
          </w:p>
          <w:p>
            <w:pPr>
              <w:widowControl/>
              <w:autoSpaceDE/>
              <w:autoSpaceDN/>
              <w:spacing w:before="0" w:after="0" w:line="240" w:lineRule="exact"/>
              <w:ind w:left="0" w:right="0"/>
              <w:jc w:val="left"/>
              <w:rPr>
                <w:rFonts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（5）参加采购活动前3年内，在经营活动中没有重大违法记录：提供《投标人资格声明函》。</w:t>
            </w:r>
          </w:p>
        </w:tc>
        <w:tc>
          <w:tcPr>
            <w:tcW w:w="906" w:type="dxa"/>
            <w:tcMar>
              <w:top w:w="57" w:type="dxa"/>
              <w:left w:w="57" w:type="dxa"/>
              <w:bottom w:w="57" w:type="dxa"/>
              <w:right w:w="57" w:type="dxa"/>
            </w:tcMar>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p>
        </w:tc>
        <w:tc>
          <w:tcPr>
            <w:tcW w:w="938" w:type="dxa"/>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p>
        </w:tc>
        <w:tc>
          <w:tcPr>
            <w:tcW w:w="678" w:type="dxa"/>
            <w:tcMar>
              <w:top w:w="57" w:type="dxa"/>
              <w:left w:w="57" w:type="dxa"/>
              <w:bottom w:w="57" w:type="dxa"/>
              <w:right w:w="57" w:type="dxa"/>
            </w:tcMar>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jc w:val="center"/>
        </w:trPr>
        <w:tc>
          <w:tcPr>
            <w:tcW w:w="619" w:type="dxa"/>
            <w:tcBorders>
              <w:right w:val="single" w:color="auto" w:sz="4" w:space="0"/>
            </w:tcBorders>
            <w:tcMar>
              <w:top w:w="57" w:type="dxa"/>
              <w:left w:w="57" w:type="dxa"/>
              <w:bottom w:w="57" w:type="dxa"/>
              <w:right w:w="57" w:type="dxa"/>
            </w:tcMar>
            <w:vAlign w:val="center"/>
          </w:tcPr>
          <w:p>
            <w:pPr>
              <w:widowControl/>
              <w:autoSpaceDE/>
              <w:autoSpaceDN/>
              <w:spacing w:before="0" w:after="0" w:line="240" w:lineRule="exact"/>
              <w:ind w:left="0" w:right="0"/>
              <w:jc w:val="center"/>
              <w:rPr>
                <w:rFonts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2</w:t>
            </w:r>
          </w:p>
        </w:tc>
        <w:tc>
          <w:tcPr>
            <w:tcW w:w="6119" w:type="dxa"/>
            <w:tcBorders>
              <w:left w:val="single" w:color="auto" w:sz="4" w:space="0"/>
            </w:tcBorders>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本项目专门面向中小企业采购，供应商应为中小微企业、监狱企业、残疾人福利性单位。（提供《中小企业声明函》或属于监狱企业的证明材料或《残疾人福利性单位声明函》）</w:t>
            </w:r>
          </w:p>
        </w:tc>
        <w:tc>
          <w:tcPr>
            <w:tcW w:w="906" w:type="dxa"/>
            <w:tcMar>
              <w:top w:w="57" w:type="dxa"/>
              <w:left w:w="57" w:type="dxa"/>
              <w:bottom w:w="57" w:type="dxa"/>
              <w:right w:w="57" w:type="dxa"/>
            </w:tcMar>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p>
        </w:tc>
        <w:tc>
          <w:tcPr>
            <w:tcW w:w="938" w:type="dxa"/>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p>
        </w:tc>
        <w:tc>
          <w:tcPr>
            <w:tcW w:w="678" w:type="dxa"/>
            <w:tcMar>
              <w:top w:w="57" w:type="dxa"/>
              <w:left w:w="57" w:type="dxa"/>
              <w:bottom w:w="57" w:type="dxa"/>
              <w:right w:w="57" w:type="dxa"/>
            </w:tcMar>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1969" w:hRule="atLeast"/>
          <w:jc w:val="center"/>
        </w:trPr>
        <w:tc>
          <w:tcPr>
            <w:tcW w:w="619" w:type="dxa"/>
            <w:tcBorders>
              <w:right w:val="single" w:color="auto" w:sz="4" w:space="0"/>
            </w:tcBorders>
            <w:tcMar>
              <w:top w:w="57" w:type="dxa"/>
              <w:left w:w="57" w:type="dxa"/>
              <w:bottom w:w="57" w:type="dxa"/>
              <w:right w:w="57" w:type="dxa"/>
            </w:tcMar>
            <w:vAlign w:val="center"/>
          </w:tcPr>
          <w:p>
            <w:pPr>
              <w:widowControl/>
              <w:autoSpaceDE/>
              <w:autoSpaceDN/>
              <w:spacing w:before="0" w:after="0" w:line="240" w:lineRule="exact"/>
              <w:ind w:left="0" w:right="0"/>
              <w:jc w:val="center"/>
              <w:rPr>
                <w:rFonts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3</w:t>
            </w:r>
          </w:p>
        </w:tc>
        <w:tc>
          <w:tcPr>
            <w:tcW w:w="6119" w:type="dxa"/>
            <w:tcBorders>
              <w:left w:val="single" w:color="auto" w:sz="4" w:space="0"/>
            </w:tcBorders>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供应商未列入“信用中国”网站(www.creditchina.gov.cn)“记录失信被执行人或重大税收违法案件当事人名单或政府采购严重违法失信行为”的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c>
          <w:tcPr>
            <w:tcW w:w="906" w:type="dxa"/>
            <w:tcMar>
              <w:top w:w="57" w:type="dxa"/>
              <w:left w:w="57" w:type="dxa"/>
              <w:bottom w:w="57" w:type="dxa"/>
              <w:right w:w="57" w:type="dxa"/>
            </w:tcMar>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p>
        </w:tc>
        <w:tc>
          <w:tcPr>
            <w:tcW w:w="938" w:type="dxa"/>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p>
        </w:tc>
        <w:tc>
          <w:tcPr>
            <w:tcW w:w="678" w:type="dxa"/>
            <w:tcMar>
              <w:top w:w="57" w:type="dxa"/>
              <w:left w:w="57" w:type="dxa"/>
              <w:bottom w:w="57" w:type="dxa"/>
              <w:right w:w="57" w:type="dxa"/>
            </w:tcMar>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jc w:val="center"/>
        </w:trPr>
        <w:tc>
          <w:tcPr>
            <w:tcW w:w="619" w:type="dxa"/>
            <w:tcBorders>
              <w:right w:val="single" w:color="auto" w:sz="4" w:space="0"/>
            </w:tcBorders>
            <w:tcMar>
              <w:top w:w="57" w:type="dxa"/>
              <w:left w:w="57" w:type="dxa"/>
              <w:bottom w:w="57" w:type="dxa"/>
              <w:right w:w="57" w:type="dxa"/>
            </w:tcMar>
            <w:vAlign w:val="center"/>
          </w:tcPr>
          <w:p>
            <w:pPr>
              <w:widowControl/>
              <w:autoSpaceDE/>
              <w:autoSpaceDN/>
              <w:spacing w:before="0" w:after="0" w:line="220" w:lineRule="exact"/>
              <w:ind w:left="0" w:right="0"/>
              <w:jc w:val="center"/>
              <w:rPr>
                <w:rFonts w:hint="eastAsia" w:ascii="宋体" w:hAnsi="宋体" w:eastAsia="宋体" w:cs="宋体"/>
                <w:color w:val="auto"/>
                <w:sz w:val="20"/>
                <w:szCs w:val="20"/>
                <w:highlight w:val="none"/>
                <w:lang w:val="en-US" w:eastAsia="zh-CN" w:bidi="ar-SA"/>
              </w:rPr>
            </w:pPr>
            <w:r>
              <w:rPr>
                <w:rFonts w:hint="eastAsia" w:cs="宋体"/>
                <w:color w:val="auto"/>
                <w:sz w:val="20"/>
                <w:szCs w:val="20"/>
                <w:highlight w:val="none"/>
                <w:lang w:val="en-US" w:eastAsia="zh-CN" w:bidi="ar-SA"/>
              </w:rPr>
              <w:t>4</w:t>
            </w:r>
          </w:p>
        </w:tc>
        <w:tc>
          <w:tcPr>
            <w:tcW w:w="6119" w:type="dxa"/>
            <w:tcBorders>
              <w:left w:val="single" w:color="auto" w:sz="4" w:space="0"/>
            </w:tcBorders>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单位负责人为同一人或者存在直接控股、管理关系的不同供应商，不得同时参加本采购项目投标（响应）。为本项目提供整体设计、规范编制或者项目管理、监理、检测等服务的供应商，不得再参与本项目投标（响应）：提供《投标人资格声明函》。</w:t>
            </w:r>
          </w:p>
        </w:tc>
        <w:tc>
          <w:tcPr>
            <w:tcW w:w="906" w:type="dxa"/>
            <w:tcMar>
              <w:top w:w="57" w:type="dxa"/>
              <w:left w:w="57" w:type="dxa"/>
              <w:bottom w:w="57" w:type="dxa"/>
              <w:right w:w="57" w:type="dxa"/>
            </w:tcMar>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p>
        </w:tc>
        <w:tc>
          <w:tcPr>
            <w:tcW w:w="938" w:type="dxa"/>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p>
        </w:tc>
        <w:tc>
          <w:tcPr>
            <w:tcW w:w="678" w:type="dxa"/>
            <w:tcMar>
              <w:top w:w="57" w:type="dxa"/>
              <w:left w:w="57" w:type="dxa"/>
              <w:bottom w:w="57" w:type="dxa"/>
              <w:right w:w="57" w:type="dxa"/>
            </w:tcMar>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307" w:hRule="atLeast"/>
          <w:jc w:val="center"/>
        </w:trPr>
        <w:tc>
          <w:tcPr>
            <w:tcW w:w="619" w:type="dxa"/>
            <w:tcBorders>
              <w:right w:val="single" w:color="auto" w:sz="4" w:space="0"/>
            </w:tcBorders>
            <w:tcMar>
              <w:top w:w="57" w:type="dxa"/>
              <w:left w:w="57" w:type="dxa"/>
              <w:bottom w:w="57" w:type="dxa"/>
              <w:right w:w="57" w:type="dxa"/>
            </w:tcMar>
            <w:vAlign w:val="center"/>
          </w:tcPr>
          <w:p>
            <w:pPr>
              <w:widowControl/>
              <w:autoSpaceDE/>
              <w:autoSpaceDN/>
              <w:spacing w:before="0" w:after="0" w:line="240" w:lineRule="exact"/>
              <w:ind w:left="0" w:right="0"/>
              <w:jc w:val="center"/>
              <w:rPr>
                <w:rFonts w:hint="eastAsia" w:ascii="宋体" w:hAnsi="宋体" w:eastAsia="宋体" w:cs="宋体"/>
                <w:color w:val="auto"/>
                <w:sz w:val="20"/>
                <w:szCs w:val="20"/>
                <w:highlight w:val="none"/>
                <w:lang w:val="en-US" w:eastAsia="zh-CN" w:bidi="ar-SA"/>
              </w:rPr>
            </w:pPr>
            <w:r>
              <w:rPr>
                <w:rFonts w:hint="eastAsia" w:cs="宋体"/>
                <w:color w:val="auto"/>
                <w:sz w:val="20"/>
                <w:szCs w:val="20"/>
                <w:highlight w:val="none"/>
                <w:lang w:val="en-US" w:eastAsia="zh-CN" w:bidi="ar-SA"/>
              </w:rPr>
              <w:t>5</w:t>
            </w:r>
          </w:p>
        </w:tc>
        <w:tc>
          <w:tcPr>
            <w:tcW w:w="6119" w:type="dxa"/>
            <w:tcBorders>
              <w:left w:val="single" w:color="auto" w:sz="4" w:space="0"/>
            </w:tcBorders>
            <w:vAlign w:val="center"/>
          </w:tcPr>
          <w:p>
            <w:pPr>
              <w:widowControl/>
              <w:autoSpaceDE/>
              <w:autoSpaceDN/>
              <w:spacing w:before="0" w:after="0" w:line="240" w:lineRule="exact"/>
              <w:ind w:left="0" w:right="0"/>
              <w:jc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0"/>
                <w:szCs w:val="20"/>
                <w:highlight w:val="none"/>
                <w:lang w:val="en-US" w:eastAsia="zh-CN" w:bidi="ar-SA"/>
              </w:rPr>
              <w:t>供应商须具有《人力资源服务许可证》（提供有效的证书</w:t>
            </w:r>
            <w:r>
              <w:rPr>
                <w:rFonts w:hint="eastAsia" w:cs="宋体"/>
                <w:color w:val="auto"/>
                <w:sz w:val="20"/>
                <w:szCs w:val="20"/>
                <w:highlight w:val="none"/>
                <w:lang w:val="en-US" w:eastAsia="zh-CN" w:bidi="ar-SA"/>
              </w:rPr>
              <w:t>盖章</w:t>
            </w:r>
            <w:r>
              <w:rPr>
                <w:rFonts w:hint="eastAsia" w:ascii="宋体" w:hAnsi="宋体" w:eastAsia="宋体" w:cs="宋体"/>
                <w:color w:val="auto"/>
                <w:sz w:val="20"/>
                <w:szCs w:val="20"/>
                <w:highlight w:val="none"/>
                <w:lang w:val="en-US" w:eastAsia="zh-CN" w:bidi="ar-SA"/>
              </w:rPr>
              <w:t>复印件）</w:t>
            </w:r>
          </w:p>
        </w:tc>
        <w:tc>
          <w:tcPr>
            <w:tcW w:w="906" w:type="dxa"/>
            <w:tcMar>
              <w:top w:w="57" w:type="dxa"/>
              <w:left w:w="57" w:type="dxa"/>
              <w:bottom w:w="57" w:type="dxa"/>
              <w:right w:w="57" w:type="dxa"/>
            </w:tcMar>
            <w:vAlign w:val="center"/>
          </w:tcPr>
          <w:p>
            <w:pPr>
              <w:widowControl/>
              <w:autoSpaceDE/>
              <w:autoSpaceDN/>
              <w:spacing w:before="0" w:after="0" w:line="240" w:lineRule="exact"/>
              <w:ind w:left="0" w:right="0"/>
              <w:jc w:val="center"/>
              <w:rPr>
                <w:rFonts w:hint="eastAsia" w:ascii="宋体" w:hAnsi="宋体" w:eastAsia="宋体" w:cs="宋体"/>
                <w:color w:val="auto"/>
                <w:sz w:val="20"/>
                <w:szCs w:val="20"/>
                <w:highlight w:val="none"/>
                <w:lang w:val="en-US" w:eastAsia="zh-CN" w:bidi="ar-SA"/>
              </w:rPr>
            </w:pPr>
          </w:p>
        </w:tc>
        <w:tc>
          <w:tcPr>
            <w:tcW w:w="938" w:type="dxa"/>
            <w:vAlign w:val="center"/>
          </w:tcPr>
          <w:p>
            <w:pPr>
              <w:widowControl/>
              <w:autoSpaceDE/>
              <w:autoSpaceDN/>
              <w:spacing w:before="0" w:after="0" w:line="240" w:lineRule="exact"/>
              <w:ind w:left="0" w:right="0"/>
              <w:jc w:val="center"/>
              <w:rPr>
                <w:rFonts w:hint="eastAsia" w:ascii="宋体" w:hAnsi="宋体" w:eastAsia="宋体" w:cs="宋体"/>
                <w:color w:val="auto"/>
                <w:sz w:val="20"/>
                <w:szCs w:val="20"/>
                <w:highlight w:val="none"/>
                <w:lang w:val="en-US" w:eastAsia="zh-CN" w:bidi="ar-SA"/>
              </w:rPr>
            </w:pPr>
          </w:p>
        </w:tc>
        <w:tc>
          <w:tcPr>
            <w:tcW w:w="678" w:type="dxa"/>
            <w:tcMar>
              <w:top w:w="57" w:type="dxa"/>
              <w:left w:w="57" w:type="dxa"/>
              <w:bottom w:w="57" w:type="dxa"/>
              <w:right w:w="57" w:type="dxa"/>
            </w:tcMar>
            <w:vAlign w:val="center"/>
          </w:tcPr>
          <w:p>
            <w:pPr>
              <w:widowControl/>
              <w:autoSpaceDE/>
              <w:autoSpaceDN/>
              <w:spacing w:before="0" w:after="0" w:line="240" w:lineRule="exact"/>
              <w:ind w:left="0" w:right="0"/>
              <w:jc w:val="center"/>
              <w:rPr>
                <w:rFonts w:hint="eastAsia" w:ascii="宋体" w:hAnsi="宋体" w:eastAsia="宋体" w:cs="宋体"/>
                <w:color w:val="auto"/>
                <w:sz w:val="20"/>
                <w:szCs w:val="20"/>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307" w:hRule="atLeast"/>
          <w:jc w:val="center"/>
        </w:trPr>
        <w:tc>
          <w:tcPr>
            <w:tcW w:w="619" w:type="dxa"/>
            <w:tcBorders>
              <w:right w:val="single" w:color="auto" w:sz="4" w:space="0"/>
            </w:tcBorders>
            <w:tcMar>
              <w:top w:w="57" w:type="dxa"/>
              <w:left w:w="57" w:type="dxa"/>
              <w:bottom w:w="57" w:type="dxa"/>
              <w:right w:w="57" w:type="dxa"/>
            </w:tcMar>
            <w:vAlign w:val="center"/>
          </w:tcPr>
          <w:p>
            <w:pPr>
              <w:widowControl/>
              <w:autoSpaceDE/>
              <w:autoSpaceDN/>
              <w:spacing w:before="0" w:after="0" w:line="240" w:lineRule="exact"/>
              <w:ind w:left="0" w:right="0"/>
              <w:jc w:val="center"/>
              <w:rPr>
                <w:rFonts w:hint="default" w:ascii="宋体" w:hAnsi="宋体" w:eastAsia="宋体" w:cs="宋体"/>
                <w:color w:val="auto"/>
                <w:sz w:val="20"/>
                <w:szCs w:val="20"/>
                <w:highlight w:val="none"/>
                <w:lang w:val="en-US" w:eastAsia="zh-CN" w:bidi="ar-SA"/>
              </w:rPr>
            </w:pPr>
            <w:r>
              <w:rPr>
                <w:rFonts w:hint="eastAsia" w:cs="宋体"/>
                <w:color w:val="auto"/>
                <w:sz w:val="20"/>
                <w:szCs w:val="20"/>
                <w:highlight w:val="none"/>
                <w:lang w:val="en-US" w:eastAsia="zh-CN" w:bidi="ar-SA"/>
              </w:rPr>
              <w:t>6</w:t>
            </w:r>
          </w:p>
        </w:tc>
        <w:tc>
          <w:tcPr>
            <w:tcW w:w="6119" w:type="dxa"/>
            <w:tcBorders>
              <w:left w:val="single" w:color="auto" w:sz="4" w:space="0"/>
            </w:tcBorders>
            <w:vAlign w:val="center"/>
          </w:tcPr>
          <w:p>
            <w:pPr>
              <w:widowControl/>
              <w:autoSpaceDE/>
              <w:autoSpaceDN/>
              <w:spacing w:before="0" w:after="0" w:line="240" w:lineRule="exact"/>
              <w:ind w:left="0" w:right="0"/>
              <w:jc w:val="left"/>
              <w:rPr>
                <w:rFonts w:hint="eastAsia" w:ascii="宋体" w:hAnsi="宋体" w:eastAsia="宋体" w:cs="宋体"/>
                <w:color w:val="auto"/>
                <w:sz w:val="20"/>
                <w:szCs w:val="20"/>
                <w:highlight w:val="none"/>
                <w:lang w:val="en-US" w:eastAsia="zh-CN" w:bidi="ar-SA"/>
              </w:rPr>
            </w:pPr>
            <w:r>
              <w:rPr>
                <w:rFonts w:hint="eastAsia" w:ascii="宋体" w:hAnsi="宋体" w:cs="宋体"/>
                <w:color w:val="auto"/>
                <w:sz w:val="20"/>
                <w:szCs w:val="20"/>
                <w:highlight w:val="none"/>
                <w:lang w:val="en-US" w:bidi="ar-SA"/>
              </w:rPr>
              <w:t>投标报价满足招标文件要求（①报价唯一性；②报价未超最高限价；③未改变固定报价项（如有）；④按要求提供分项报价表（如有）；⑤报价合理性及异常低价响应审查（如有））</w:t>
            </w:r>
          </w:p>
        </w:tc>
        <w:tc>
          <w:tcPr>
            <w:tcW w:w="906" w:type="dxa"/>
            <w:tcMar>
              <w:top w:w="57" w:type="dxa"/>
              <w:left w:w="57" w:type="dxa"/>
              <w:bottom w:w="57" w:type="dxa"/>
              <w:right w:w="57" w:type="dxa"/>
            </w:tcMar>
            <w:vAlign w:val="center"/>
          </w:tcPr>
          <w:p>
            <w:pPr>
              <w:widowControl/>
              <w:autoSpaceDE/>
              <w:autoSpaceDN/>
              <w:spacing w:before="0" w:after="0" w:line="240" w:lineRule="exact"/>
              <w:ind w:left="0" w:right="0"/>
              <w:jc w:val="center"/>
              <w:rPr>
                <w:rFonts w:hint="eastAsia" w:ascii="宋体" w:hAnsi="宋体" w:eastAsia="宋体" w:cs="宋体"/>
                <w:color w:val="auto"/>
                <w:sz w:val="20"/>
                <w:szCs w:val="20"/>
                <w:highlight w:val="none"/>
                <w:lang w:val="en-US" w:eastAsia="zh-CN" w:bidi="ar-SA"/>
              </w:rPr>
            </w:pPr>
          </w:p>
        </w:tc>
        <w:tc>
          <w:tcPr>
            <w:tcW w:w="938" w:type="dxa"/>
            <w:vAlign w:val="center"/>
          </w:tcPr>
          <w:p>
            <w:pPr>
              <w:widowControl/>
              <w:autoSpaceDE/>
              <w:autoSpaceDN/>
              <w:spacing w:before="0" w:after="0" w:line="240" w:lineRule="exact"/>
              <w:ind w:left="0" w:right="0"/>
              <w:jc w:val="center"/>
              <w:rPr>
                <w:rFonts w:hint="eastAsia" w:ascii="宋体" w:hAnsi="宋体" w:eastAsia="宋体" w:cs="宋体"/>
                <w:color w:val="auto"/>
                <w:sz w:val="20"/>
                <w:szCs w:val="20"/>
                <w:highlight w:val="none"/>
                <w:lang w:val="en-US" w:eastAsia="zh-CN" w:bidi="ar-SA"/>
              </w:rPr>
            </w:pPr>
          </w:p>
        </w:tc>
        <w:tc>
          <w:tcPr>
            <w:tcW w:w="678" w:type="dxa"/>
            <w:tcMar>
              <w:top w:w="57" w:type="dxa"/>
              <w:left w:w="57" w:type="dxa"/>
              <w:bottom w:w="57" w:type="dxa"/>
              <w:right w:w="57" w:type="dxa"/>
            </w:tcMar>
            <w:vAlign w:val="center"/>
          </w:tcPr>
          <w:p>
            <w:pPr>
              <w:widowControl/>
              <w:autoSpaceDE/>
              <w:autoSpaceDN/>
              <w:spacing w:before="0" w:after="0" w:line="240" w:lineRule="exact"/>
              <w:ind w:left="0" w:right="0"/>
              <w:jc w:val="center"/>
              <w:rPr>
                <w:rFonts w:hint="eastAsia" w:ascii="宋体" w:hAnsi="宋体" w:eastAsia="宋体" w:cs="宋体"/>
                <w:color w:val="auto"/>
                <w:sz w:val="20"/>
                <w:szCs w:val="20"/>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544" w:hRule="atLeast"/>
          <w:jc w:val="center"/>
        </w:trPr>
        <w:tc>
          <w:tcPr>
            <w:tcW w:w="619" w:type="dxa"/>
            <w:tcBorders>
              <w:right w:val="single" w:color="auto" w:sz="4" w:space="0"/>
            </w:tcBorders>
            <w:tcMar>
              <w:top w:w="57" w:type="dxa"/>
              <w:left w:w="57" w:type="dxa"/>
              <w:bottom w:w="57" w:type="dxa"/>
              <w:right w:w="57" w:type="dxa"/>
            </w:tcMar>
            <w:vAlign w:val="center"/>
          </w:tcPr>
          <w:p>
            <w:pPr>
              <w:widowControl/>
              <w:autoSpaceDE/>
              <w:autoSpaceDN/>
              <w:spacing w:before="0" w:after="0" w:line="220" w:lineRule="exact"/>
              <w:ind w:left="0" w:right="0"/>
              <w:jc w:val="center"/>
              <w:rPr>
                <w:rFonts w:hint="eastAsia" w:ascii="宋体" w:hAnsi="宋体" w:eastAsia="宋体" w:cs="宋体"/>
                <w:color w:val="auto"/>
                <w:sz w:val="20"/>
                <w:szCs w:val="20"/>
                <w:highlight w:val="none"/>
                <w:lang w:val="en-US" w:eastAsia="zh-CN" w:bidi="ar-SA"/>
              </w:rPr>
            </w:pPr>
            <w:r>
              <w:rPr>
                <w:rFonts w:hint="eastAsia" w:cs="宋体"/>
                <w:color w:val="auto"/>
                <w:sz w:val="20"/>
                <w:szCs w:val="20"/>
                <w:highlight w:val="none"/>
                <w:lang w:val="en-US" w:eastAsia="zh-CN" w:bidi="ar-SA"/>
              </w:rPr>
              <w:t>7</w:t>
            </w:r>
          </w:p>
        </w:tc>
        <w:tc>
          <w:tcPr>
            <w:tcW w:w="6119" w:type="dxa"/>
            <w:tcBorders>
              <w:left w:val="single" w:color="auto" w:sz="4" w:space="0"/>
            </w:tcBorders>
            <w:vAlign w:val="center"/>
          </w:tcPr>
          <w:p>
            <w:pPr>
              <w:widowControl/>
              <w:autoSpaceDE/>
              <w:autoSpaceDN/>
              <w:spacing w:before="0" w:after="0" w:line="240" w:lineRule="exact"/>
              <w:ind w:left="0" w:right="0"/>
              <w:jc w:val="left"/>
              <w:rPr>
                <w:rFonts w:hint="eastAsia" w:ascii="宋体" w:hAnsi="宋体" w:eastAsia="宋体" w:cs="宋体"/>
                <w:color w:val="auto"/>
                <w:sz w:val="20"/>
                <w:szCs w:val="20"/>
                <w:highlight w:val="none"/>
                <w:lang w:val="en-US" w:eastAsia="zh-CN" w:bidi="ar-SA"/>
              </w:rPr>
            </w:pPr>
            <w:r>
              <w:rPr>
                <w:rFonts w:hint="eastAsia" w:ascii="宋体" w:hAnsi="宋体" w:cs="宋体"/>
                <w:color w:val="auto"/>
                <w:sz w:val="20"/>
                <w:szCs w:val="20"/>
                <w:highlight w:val="none"/>
                <w:lang w:val="en-US" w:bidi="ar-SA"/>
              </w:rPr>
              <w:t>按照招标文件规定要求签署、盖章且投标文件有法定代表人签字或盖个人名章（或签字人有法定代表人有效授权书）的</w:t>
            </w:r>
            <w:r>
              <w:rPr>
                <w:rFonts w:hint="eastAsia" w:cs="宋体"/>
                <w:color w:val="auto"/>
                <w:sz w:val="20"/>
                <w:szCs w:val="20"/>
                <w:highlight w:val="none"/>
                <w:lang w:val="en-US" w:eastAsia="zh-CN" w:bidi="ar-SA"/>
              </w:rPr>
              <w:t>。</w:t>
            </w:r>
          </w:p>
        </w:tc>
        <w:tc>
          <w:tcPr>
            <w:tcW w:w="906" w:type="dxa"/>
            <w:tcMar>
              <w:top w:w="57" w:type="dxa"/>
              <w:left w:w="57" w:type="dxa"/>
              <w:bottom w:w="57" w:type="dxa"/>
              <w:right w:w="57" w:type="dxa"/>
            </w:tcMar>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c>
          <w:tcPr>
            <w:tcW w:w="938" w:type="dxa"/>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c>
          <w:tcPr>
            <w:tcW w:w="678" w:type="dxa"/>
            <w:tcMar>
              <w:top w:w="57" w:type="dxa"/>
              <w:left w:w="57" w:type="dxa"/>
              <w:bottom w:w="57" w:type="dxa"/>
              <w:right w:w="57" w:type="dxa"/>
            </w:tcMar>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170" w:hRule="atLeast"/>
          <w:jc w:val="center"/>
        </w:trPr>
        <w:tc>
          <w:tcPr>
            <w:tcW w:w="619" w:type="dxa"/>
            <w:tcBorders>
              <w:bottom w:val="single" w:color="auto" w:sz="4" w:space="0"/>
              <w:right w:val="single" w:color="auto" w:sz="4" w:space="0"/>
            </w:tcBorders>
            <w:tcMar>
              <w:top w:w="57" w:type="dxa"/>
              <w:left w:w="57" w:type="dxa"/>
              <w:bottom w:w="57" w:type="dxa"/>
              <w:right w:w="57" w:type="dxa"/>
            </w:tcMar>
            <w:vAlign w:val="center"/>
          </w:tcPr>
          <w:p>
            <w:pPr>
              <w:widowControl/>
              <w:autoSpaceDE/>
              <w:autoSpaceDN/>
              <w:spacing w:before="0" w:after="0" w:line="220" w:lineRule="exact"/>
              <w:ind w:left="0" w:right="0"/>
              <w:jc w:val="center"/>
              <w:rPr>
                <w:rFonts w:hint="default" w:cs="宋体"/>
                <w:color w:val="auto"/>
                <w:sz w:val="20"/>
                <w:szCs w:val="20"/>
                <w:highlight w:val="none"/>
                <w:lang w:val="en-US" w:eastAsia="zh-CN" w:bidi="ar-SA"/>
              </w:rPr>
            </w:pPr>
            <w:r>
              <w:rPr>
                <w:rFonts w:hint="eastAsia" w:cs="宋体"/>
                <w:color w:val="auto"/>
                <w:sz w:val="20"/>
                <w:szCs w:val="20"/>
                <w:highlight w:val="none"/>
                <w:lang w:val="en-US" w:eastAsia="zh-CN" w:bidi="ar-SA"/>
              </w:rPr>
              <w:t>8</w:t>
            </w:r>
          </w:p>
        </w:tc>
        <w:tc>
          <w:tcPr>
            <w:tcW w:w="6119" w:type="dxa"/>
            <w:tcBorders>
              <w:left w:val="single" w:color="auto" w:sz="4" w:space="0"/>
              <w:bottom w:val="single" w:color="auto" w:sz="4" w:space="0"/>
            </w:tcBorders>
            <w:vAlign w:val="center"/>
          </w:tcPr>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eastAsia="宋体" w:cs="宋体"/>
                <w:color w:val="auto"/>
                <w:sz w:val="20"/>
                <w:szCs w:val="20"/>
                <w:highlight w:val="none"/>
                <w:lang w:val="en-US" w:eastAsia="zh-CN" w:bidi="ar-SA"/>
              </w:rPr>
              <w:t>投标文件完全响应招标文件的实质性条款（即标注★号条款，如有）。</w:t>
            </w:r>
          </w:p>
        </w:tc>
        <w:tc>
          <w:tcPr>
            <w:tcW w:w="906" w:type="dxa"/>
            <w:tcBorders>
              <w:bottom w:val="single" w:color="auto" w:sz="4" w:space="0"/>
            </w:tcBorders>
            <w:tcMar>
              <w:top w:w="57" w:type="dxa"/>
              <w:left w:w="57" w:type="dxa"/>
              <w:bottom w:w="57" w:type="dxa"/>
              <w:right w:w="57" w:type="dxa"/>
            </w:tcMar>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c>
          <w:tcPr>
            <w:tcW w:w="938" w:type="dxa"/>
            <w:tcBorders>
              <w:bottom w:val="single" w:color="auto" w:sz="4" w:space="0"/>
            </w:tcBorders>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c>
          <w:tcPr>
            <w:tcW w:w="678" w:type="dxa"/>
            <w:tcBorders>
              <w:bottom w:val="single" w:color="auto" w:sz="4" w:space="0"/>
            </w:tcBorders>
            <w:tcMar>
              <w:top w:w="57" w:type="dxa"/>
              <w:left w:w="57" w:type="dxa"/>
              <w:bottom w:w="57" w:type="dxa"/>
              <w:right w:w="57" w:type="dxa"/>
            </w:tcMar>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170" w:hRule="atLeast"/>
          <w:jc w:val="center"/>
        </w:trPr>
        <w:tc>
          <w:tcPr>
            <w:tcW w:w="61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autoSpaceDE/>
              <w:autoSpaceDN/>
              <w:spacing w:before="0" w:after="0" w:line="220" w:lineRule="exact"/>
              <w:ind w:left="0" w:right="0"/>
              <w:jc w:val="center"/>
              <w:rPr>
                <w:rFonts w:hint="eastAsia" w:ascii="宋体" w:hAnsi="宋体" w:eastAsia="宋体" w:cs="宋体"/>
                <w:color w:val="auto"/>
                <w:sz w:val="20"/>
                <w:szCs w:val="20"/>
                <w:highlight w:val="none"/>
                <w:lang w:val="en-US" w:eastAsia="zh-CN" w:bidi="ar-SA"/>
              </w:rPr>
            </w:pPr>
            <w:r>
              <w:rPr>
                <w:rFonts w:hint="eastAsia" w:cs="宋体"/>
                <w:color w:val="auto"/>
                <w:sz w:val="20"/>
                <w:szCs w:val="20"/>
                <w:highlight w:val="none"/>
                <w:lang w:val="en-US" w:eastAsia="zh-CN" w:bidi="ar-SA"/>
              </w:rPr>
              <w:t>9</w:t>
            </w:r>
          </w:p>
        </w:tc>
        <w:tc>
          <w:tcPr>
            <w:tcW w:w="6119" w:type="dxa"/>
            <w:tcBorders>
              <w:top w:val="single" w:color="auto" w:sz="4" w:space="0"/>
              <w:left w:val="single" w:color="auto" w:sz="4" w:space="0"/>
              <w:bottom w:val="single" w:color="auto" w:sz="4" w:space="0"/>
            </w:tcBorders>
            <w:vAlign w:val="center"/>
          </w:tcPr>
          <w:p>
            <w:pPr>
              <w:widowControl/>
              <w:autoSpaceDE/>
              <w:autoSpaceDN/>
              <w:spacing w:before="0" w:after="0" w:line="240" w:lineRule="exact"/>
              <w:ind w:left="0" w:right="0"/>
              <w:jc w:val="left"/>
              <w:rPr>
                <w:rFonts w:hint="eastAsia" w:ascii="宋体" w:hAnsi="宋体" w:eastAsia="宋体" w:cs="宋体"/>
                <w:color w:val="auto"/>
                <w:sz w:val="20"/>
                <w:szCs w:val="20"/>
                <w:highlight w:val="none"/>
                <w:lang w:val="en-US" w:eastAsia="zh-CN" w:bidi="ar-SA"/>
              </w:rPr>
            </w:pPr>
            <w:r>
              <w:rPr>
                <w:rFonts w:hint="eastAsia" w:cs="宋体"/>
                <w:color w:val="auto"/>
                <w:sz w:val="20"/>
                <w:szCs w:val="20"/>
                <w:highlight w:val="none"/>
                <w:lang w:val="en-US" w:eastAsia="zh-CN" w:bidi="ar-SA"/>
              </w:rPr>
              <w:t>不存在投标人串通投标情形。</w:t>
            </w:r>
          </w:p>
        </w:tc>
        <w:tc>
          <w:tcPr>
            <w:tcW w:w="906" w:type="dxa"/>
            <w:tcBorders>
              <w:top w:val="single" w:color="auto" w:sz="4" w:space="0"/>
              <w:bottom w:val="single" w:color="auto" w:sz="4" w:space="0"/>
            </w:tcBorders>
            <w:tcMar>
              <w:top w:w="57" w:type="dxa"/>
              <w:left w:w="57" w:type="dxa"/>
              <w:bottom w:w="57" w:type="dxa"/>
              <w:right w:w="57" w:type="dxa"/>
            </w:tcMar>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c>
          <w:tcPr>
            <w:tcW w:w="938" w:type="dxa"/>
            <w:tcBorders>
              <w:top w:val="single" w:color="auto" w:sz="4" w:space="0"/>
              <w:bottom w:val="nil"/>
            </w:tcBorders>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c>
          <w:tcPr>
            <w:tcW w:w="678" w:type="dxa"/>
            <w:tcBorders>
              <w:top w:val="single" w:color="auto" w:sz="4" w:space="0"/>
              <w:bottom w:val="single" w:color="auto" w:sz="4" w:space="0"/>
              <w:right w:val="single" w:color="auto" w:sz="4" w:space="0"/>
            </w:tcBorders>
            <w:tcMar>
              <w:top w:w="57" w:type="dxa"/>
              <w:left w:w="57" w:type="dxa"/>
              <w:bottom w:w="57" w:type="dxa"/>
              <w:right w:w="57" w:type="dxa"/>
            </w:tcMar>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188" w:hRule="atLeast"/>
          <w:jc w:val="center"/>
        </w:trPr>
        <w:tc>
          <w:tcPr>
            <w:tcW w:w="6738" w:type="dxa"/>
            <w:gridSpan w:val="2"/>
            <w:tcBorders>
              <w:top w:val="nil"/>
            </w:tcBorders>
            <w:tcMar>
              <w:top w:w="57" w:type="dxa"/>
              <w:left w:w="57" w:type="dxa"/>
              <w:bottom w:w="57" w:type="dxa"/>
              <w:right w:w="57" w:type="dxa"/>
            </w:tcMar>
            <w:vAlign w:val="center"/>
          </w:tcPr>
          <w:p>
            <w:pPr>
              <w:widowControl/>
              <w:autoSpaceDE/>
              <w:autoSpaceDN/>
              <w:spacing w:before="0" w:after="0" w:line="240" w:lineRule="exact"/>
              <w:ind w:left="0" w:right="0"/>
              <w:jc w:val="center"/>
              <w:rPr>
                <w:rFonts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结论</w:t>
            </w:r>
          </w:p>
        </w:tc>
        <w:tc>
          <w:tcPr>
            <w:tcW w:w="906" w:type="dxa"/>
            <w:tcBorders>
              <w:top w:val="nil"/>
            </w:tcBorders>
            <w:tcMar>
              <w:top w:w="57" w:type="dxa"/>
              <w:left w:w="57" w:type="dxa"/>
              <w:bottom w:w="57" w:type="dxa"/>
              <w:right w:w="57" w:type="dxa"/>
            </w:tcMar>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c>
          <w:tcPr>
            <w:tcW w:w="938" w:type="dxa"/>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c>
          <w:tcPr>
            <w:tcW w:w="678" w:type="dxa"/>
            <w:tcBorders>
              <w:top w:val="nil"/>
            </w:tcBorders>
            <w:tcMar>
              <w:top w:w="57" w:type="dxa"/>
              <w:left w:w="57" w:type="dxa"/>
              <w:bottom w:w="57" w:type="dxa"/>
              <w:right w:w="57" w:type="dxa"/>
            </w:tcMar>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jc w:val="center"/>
        </w:trPr>
        <w:tc>
          <w:tcPr>
            <w:tcW w:w="6738" w:type="dxa"/>
            <w:gridSpan w:val="2"/>
            <w:tcMar>
              <w:top w:w="57" w:type="dxa"/>
              <w:left w:w="57" w:type="dxa"/>
              <w:bottom w:w="57" w:type="dxa"/>
              <w:right w:w="57" w:type="dxa"/>
            </w:tcMar>
            <w:vAlign w:val="center"/>
          </w:tcPr>
          <w:p>
            <w:pPr>
              <w:widowControl/>
              <w:autoSpaceDE/>
              <w:autoSpaceDN/>
              <w:spacing w:before="0" w:after="0" w:line="240" w:lineRule="exact"/>
              <w:ind w:left="0" w:right="0"/>
              <w:jc w:val="center"/>
              <w:rPr>
                <w:rFonts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不通过原因说明</w:t>
            </w:r>
          </w:p>
        </w:tc>
        <w:tc>
          <w:tcPr>
            <w:tcW w:w="906" w:type="dxa"/>
            <w:tcMar>
              <w:top w:w="57" w:type="dxa"/>
              <w:left w:w="57" w:type="dxa"/>
              <w:bottom w:w="57" w:type="dxa"/>
              <w:right w:w="57" w:type="dxa"/>
            </w:tcMar>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c>
          <w:tcPr>
            <w:tcW w:w="938" w:type="dxa"/>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c>
          <w:tcPr>
            <w:tcW w:w="678" w:type="dxa"/>
            <w:tcMar>
              <w:top w:w="57" w:type="dxa"/>
              <w:left w:w="57" w:type="dxa"/>
              <w:bottom w:w="57" w:type="dxa"/>
              <w:right w:w="57" w:type="dxa"/>
            </w:tcMar>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r>
      <w:bookmarkEnd w:id="4"/>
    </w:tbl>
    <w:p>
      <w:pPr>
        <w:widowControl/>
        <w:autoSpaceDE/>
        <w:autoSpaceDN/>
        <w:spacing w:before="0" w:after="0" w:line="240" w:lineRule="auto"/>
        <w:ind w:left="0" w:right="0"/>
        <w:jc w:val="left"/>
        <w:rPr>
          <w:rFonts w:ascii="宋体" w:hAnsi="宋体" w:cs="宋体"/>
          <w:color w:val="auto"/>
          <w:sz w:val="20"/>
          <w:szCs w:val="18"/>
          <w:highlight w:val="none"/>
          <w:lang w:val="en-US" w:bidi="ar-SA"/>
        </w:rPr>
      </w:pPr>
      <w:r>
        <w:rPr>
          <w:rFonts w:hint="eastAsia" w:ascii="宋体" w:hAnsi="宋体" w:cs="宋体"/>
          <w:color w:val="auto"/>
          <w:sz w:val="20"/>
          <w:szCs w:val="18"/>
          <w:highlight w:val="none"/>
          <w:lang w:val="en-US" w:bidi="ar-SA"/>
        </w:rPr>
        <w:t>备注：</w:t>
      </w:r>
    </w:p>
    <w:p>
      <w:pPr>
        <w:widowControl/>
        <w:autoSpaceDE/>
        <w:autoSpaceDN/>
        <w:spacing w:before="0" w:after="0" w:line="240" w:lineRule="auto"/>
        <w:ind w:left="0" w:right="0"/>
        <w:jc w:val="left"/>
        <w:rPr>
          <w:rFonts w:ascii="宋体" w:hAnsi="宋体" w:cs="宋体"/>
          <w:color w:val="auto"/>
          <w:sz w:val="20"/>
          <w:szCs w:val="18"/>
          <w:highlight w:val="none"/>
          <w:lang w:val="en-US" w:bidi="ar-SA"/>
        </w:rPr>
      </w:pPr>
      <w:r>
        <w:rPr>
          <w:rFonts w:hint="eastAsia" w:ascii="宋体" w:hAnsi="宋体" w:cs="宋体"/>
          <w:color w:val="auto"/>
          <w:sz w:val="20"/>
          <w:szCs w:val="18"/>
          <w:highlight w:val="none"/>
          <w:lang w:val="en-US" w:bidi="ar-SA"/>
        </w:rPr>
        <w:t>1．评审时评委对投标人是否满足要求逐条标注评审意见，“是”标记为“○”，“否”标记为“×”；</w:t>
      </w:r>
    </w:p>
    <w:p>
      <w:pPr>
        <w:widowControl/>
        <w:autoSpaceDE/>
        <w:autoSpaceDN/>
        <w:spacing w:before="0" w:after="0" w:line="240" w:lineRule="auto"/>
        <w:ind w:left="0" w:right="0"/>
        <w:jc w:val="left"/>
        <w:rPr>
          <w:rFonts w:ascii="宋体" w:hAnsi="宋体" w:cs="宋体"/>
          <w:color w:val="auto"/>
          <w:sz w:val="20"/>
          <w:szCs w:val="18"/>
          <w:highlight w:val="none"/>
          <w:lang w:val="en-US" w:bidi="ar-SA"/>
        </w:rPr>
      </w:pPr>
      <w:r>
        <w:rPr>
          <w:rFonts w:hint="eastAsia" w:ascii="宋体" w:hAnsi="宋体" w:cs="宋体"/>
          <w:color w:val="auto"/>
          <w:sz w:val="20"/>
          <w:szCs w:val="18"/>
          <w:highlight w:val="none"/>
          <w:lang w:val="en-US" w:bidi="ar-SA"/>
        </w:rPr>
        <w:t>2．评审结论栏统一填写为“通过”或“不通过”，出现一个“×”为“不通过”；</w:t>
      </w:r>
    </w:p>
    <w:p>
      <w:pPr>
        <w:widowControl/>
        <w:autoSpaceDE/>
        <w:autoSpaceDN/>
        <w:spacing w:before="0" w:after="0" w:line="240" w:lineRule="auto"/>
        <w:ind w:left="0" w:right="0"/>
        <w:jc w:val="left"/>
        <w:rPr>
          <w:rFonts w:hint="eastAsia" w:ascii="Times New Roman" w:hAnsi="Times New Roman" w:cs="Times New Roman"/>
          <w:color w:val="auto"/>
          <w:sz w:val="21"/>
          <w:szCs w:val="20"/>
          <w:highlight w:val="none"/>
          <w:lang w:val="en-US" w:bidi="ar-SA"/>
        </w:rPr>
      </w:pPr>
      <w:r>
        <w:rPr>
          <w:rFonts w:hint="eastAsia" w:ascii="宋体" w:hAnsi="宋体" w:cs="宋体"/>
          <w:color w:val="auto"/>
          <w:sz w:val="20"/>
          <w:szCs w:val="18"/>
          <w:highlight w:val="none"/>
          <w:lang w:val="en-US" w:bidi="ar-SA"/>
        </w:rPr>
        <w:t>3．对结论为“不通过”的投标，要说明原因。</w:t>
      </w:r>
    </w:p>
    <w:p>
      <w:pPr>
        <w:widowControl/>
        <w:autoSpaceDE/>
        <w:autoSpaceDN/>
        <w:spacing w:before="0" w:after="0" w:line="240" w:lineRule="auto"/>
        <w:ind w:left="0" w:right="0"/>
        <w:jc w:val="left"/>
        <w:rPr>
          <w:rFonts w:hint="eastAsia" w:ascii="宋体" w:hAnsi="宋体" w:cs="宋体"/>
          <w:color w:val="auto"/>
          <w:sz w:val="20"/>
          <w:szCs w:val="18"/>
          <w:highlight w:val="none"/>
          <w:lang w:val="en-US" w:bidi="ar-SA"/>
        </w:rPr>
      </w:pPr>
      <w:r>
        <w:rPr>
          <w:rFonts w:hint="eastAsia" w:ascii="宋体" w:hAnsi="宋体" w:cs="宋体"/>
          <w:color w:val="auto"/>
          <w:sz w:val="20"/>
          <w:szCs w:val="18"/>
          <w:highlight w:val="none"/>
          <w:lang w:val="en-US" w:bidi="ar-SA"/>
        </w:rPr>
        <w:t>评委签名：</w:t>
      </w:r>
      <w:r>
        <w:rPr>
          <w:rFonts w:hint="eastAsia" w:ascii="宋体" w:hAnsi="宋体" w:cs="宋体"/>
          <w:color w:val="auto"/>
          <w:sz w:val="20"/>
          <w:szCs w:val="18"/>
          <w:highlight w:val="none"/>
          <w:lang w:val="en-US" w:eastAsia="zh-CN" w:bidi="ar-SA"/>
        </w:rPr>
        <w:t xml:space="preserve">             </w:t>
      </w:r>
      <w:r>
        <w:rPr>
          <w:rFonts w:hint="eastAsia" w:ascii="宋体" w:hAnsi="宋体" w:cs="宋体"/>
          <w:color w:val="auto"/>
          <w:sz w:val="20"/>
          <w:szCs w:val="18"/>
          <w:highlight w:val="none"/>
          <w:lang w:val="en-US" w:bidi="ar-SA"/>
        </w:rPr>
        <w:t>日期：</w:t>
      </w:r>
      <w:r>
        <w:rPr>
          <w:rFonts w:hint="eastAsia" w:ascii="宋体" w:hAnsi="宋体" w:cs="宋体"/>
          <w:color w:val="auto"/>
          <w:sz w:val="20"/>
          <w:szCs w:val="18"/>
          <w:highlight w:val="none"/>
          <w:lang w:val="en-US" w:bidi="ar-SA"/>
        </w:rPr>
        <w:br w:type="page"/>
      </w:r>
    </w:p>
    <w:p>
      <w:pPr>
        <w:rPr>
          <w:rFonts w:ascii="宋体" w:hAnsi="宋体" w:cs="宋体"/>
          <w:b/>
          <w:bCs/>
          <w:color w:val="auto"/>
          <w:sz w:val="24"/>
          <w:szCs w:val="24"/>
          <w:highlight w:val="none"/>
        </w:rPr>
      </w:pPr>
      <w:r>
        <w:rPr>
          <w:rFonts w:hint="eastAsia" w:ascii="宋体" w:hAnsi="宋体" w:cs="宋体"/>
          <w:b/>
          <w:bCs/>
          <w:color w:val="auto"/>
          <w:sz w:val="24"/>
          <w:szCs w:val="24"/>
          <w:highlight w:val="none"/>
        </w:rPr>
        <w:t>附表</w:t>
      </w:r>
      <w:r>
        <w:rPr>
          <w:rFonts w:ascii="宋体" w:hAnsi="宋体" w:cs="宋体"/>
          <w:b/>
          <w:bCs/>
          <w:color w:val="auto"/>
          <w:sz w:val="24"/>
          <w:szCs w:val="24"/>
          <w:highlight w:val="none"/>
        </w:rPr>
        <w:t>2</w:t>
      </w:r>
      <w:r>
        <w:rPr>
          <w:rFonts w:hint="eastAsia" w:ascii="宋体" w:hAnsi="宋体" w:cs="宋体"/>
          <w:b/>
          <w:bCs/>
          <w:color w:val="auto"/>
          <w:sz w:val="24"/>
          <w:szCs w:val="24"/>
          <w:highlight w:val="none"/>
        </w:rPr>
        <w:t>：技术商务评审表</w:t>
      </w:r>
    </w:p>
    <w:p>
      <w:pPr>
        <w:widowControl/>
        <w:autoSpaceDE/>
        <w:autoSpaceDN/>
        <w:spacing w:before="0" w:after="120" w:line="240" w:lineRule="auto"/>
        <w:ind w:left="0" w:right="0"/>
        <w:jc w:val="center"/>
        <w:rPr>
          <w:rFonts w:hint="eastAsia" w:ascii="宋体" w:hAnsi="宋体" w:cs="Times New Roman"/>
          <w:b/>
          <w:color w:val="auto"/>
          <w:sz w:val="21"/>
          <w:szCs w:val="21"/>
          <w:highlight w:val="none"/>
          <w:lang w:val="en-US" w:bidi="ar-SA"/>
        </w:rPr>
      </w:pPr>
      <w:r>
        <w:rPr>
          <w:rFonts w:hint="eastAsia" w:ascii="宋体" w:hAnsi="宋体" w:cs="Times New Roman"/>
          <w:b/>
          <w:color w:val="auto"/>
          <w:sz w:val="21"/>
          <w:szCs w:val="21"/>
          <w:highlight w:val="none"/>
          <w:lang w:val="en-US" w:bidi="ar-SA"/>
        </w:rPr>
        <w:t>技术商务评审表（满分</w:t>
      </w:r>
      <w:r>
        <w:rPr>
          <w:rFonts w:hint="eastAsia" w:cs="Times New Roman"/>
          <w:b/>
          <w:color w:val="auto"/>
          <w:sz w:val="21"/>
          <w:szCs w:val="21"/>
          <w:highlight w:val="none"/>
          <w:lang w:val="en-US" w:eastAsia="zh-CN" w:bidi="ar-SA"/>
        </w:rPr>
        <w:t>7</w:t>
      </w:r>
      <w:r>
        <w:rPr>
          <w:rFonts w:ascii="宋体" w:hAnsi="宋体" w:cs="Times New Roman"/>
          <w:b/>
          <w:color w:val="auto"/>
          <w:sz w:val="21"/>
          <w:szCs w:val="21"/>
          <w:highlight w:val="none"/>
          <w:lang w:val="en-US" w:bidi="ar-SA"/>
        </w:rPr>
        <w:t>0分</w:t>
      </w:r>
      <w:r>
        <w:rPr>
          <w:rFonts w:hint="eastAsia" w:ascii="宋体" w:hAnsi="宋体" w:cs="Times New Roman"/>
          <w:b/>
          <w:color w:val="auto"/>
          <w:sz w:val="21"/>
          <w:szCs w:val="21"/>
          <w:highlight w:val="none"/>
          <w:lang w:val="en-US" w:bidi="ar-SA"/>
        </w:rPr>
        <w:t>）</w:t>
      </w:r>
    </w:p>
    <w:tbl>
      <w:tblPr>
        <w:tblStyle w:val="16"/>
        <w:tblW w:w="944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77"/>
        <w:gridCol w:w="962"/>
        <w:gridCol w:w="720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23" w:hRule="atLeast"/>
        </w:trPr>
        <w:tc>
          <w:tcPr>
            <w:tcW w:w="1277" w:type="dxa"/>
            <w:vAlign w:val="center"/>
          </w:tcPr>
          <w:p>
            <w:pPr>
              <w:pStyle w:val="24"/>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评审因素</w:t>
            </w:r>
          </w:p>
        </w:tc>
        <w:tc>
          <w:tcPr>
            <w:tcW w:w="8164" w:type="dxa"/>
            <w:gridSpan w:val="2"/>
            <w:vAlign w:val="center"/>
          </w:tcPr>
          <w:p>
            <w:pPr>
              <w:pStyle w:val="24"/>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8" w:hRule="atLeast"/>
        </w:trPr>
        <w:tc>
          <w:tcPr>
            <w:tcW w:w="1277" w:type="dxa"/>
            <w:vAlign w:val="center"/>
          </w:tcPr>
          <w:p>
            <w:pPr>
              <w:pStyle w:val="24"/>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分值构成</w:t>
            </w:r>
          </w:p>
        </w:tc>
        <w:tc>
          <w:tcPr>
            <w:tcW w:w="8164" w:type="dxa"/>
            <w:gridSpan w:val="2"/>
            <w:vAlign w:val="center"/>
          </w:tcPr>
          <w:p>
            <w:pPr>
              <w:pStyle w:val="24"/>
              <w:spacing w:line="240" w:lineRule="auto"/>
              <w:jc w:val="left"/>
              <w:rPr>
                <w:rFonts w:hint="default" w:ascii="Times New Roman" w:hAnsi="Times New Roman" w:cs="Times New Roman"/>
                <w:sz w:val="21"/>
                <w:szCs w:val="21"/>
              </w:rPr>
            </w:pPr>
            <w:r>
              <w:rPr>
                <w:rFonts w:hint="default" w:ascii="Times New Roman" w:hAnsi="Times New Roman" w:cs="Times New Roman"/>
                <w:sz w:val="21"/>
                <w:szCs w:val="21"/>
              </w:rPr>
              <w:t>技术部分</w:t>
            </w:r>
            <w:r>
              <w:rPr>
                <w:rFonts w:hint="eastAsia" w:ascii="Times New Roman" w:hAnsi="Times New Roman" w:cs="Times New Roman"/>
                <w:sz w:val="21"/>
                <w:szCs w:val="21"/>
                <w:lang w:val="en-US" w:eastAsia="zh-CN"/>
              </w:rPr>
              <w:t>45</w:t>
            </w:r>
            <w:r>
              <w:rPr>
                <w:rFonts w:hint="default" w:ascii="Times New Roman" w:hAnsi="Times New Roman" w:cs="Times New Roman"/>
                <w:sz w:val="21"/>
                <w:szCs w:val="21"/>
              </w:rPr>
              <w:t>.0分</w:t>
            </w:r>
          </w:p>
          <w:p>
            <w:pPr>
              <w:pStyle w:val="24"/>
              <w:spacing w:line="240" w:lineRule="auto"/>
              <w:jc w:val="left"/>
              <w:rPr>
                <w:rFonts w:hint="default" w:ascii="Times New Roman" w:hAnsi="Times New Roman" w:cs="Times New Roman"/>
                <w:sz w:val="21"/>
                <w:szCs w:val="21"/>
              </w:rPr>
            </w:pPr>
            <w:r>
              <w:rPr>
                <w:rFonts w:hint="default" w:ascii="Times New Roman" w:hAnsi="Times New Roman" w:cs="Times New Roman"/>
                <w:sz w:val="21"/>
                <w:szCs w:val="21"/>
              </w:rPr>
              <w:t>商务部分</w:t>
            </w:r>
            <w:r>
              <w:rPr>
                <w:rFonts w:hint="eastAsia" w:ascii="Times New Roman" w:hAnsi="Times New Roman" w:cs="Times New Roman"/>
                <w:sz w:val="21"/>
                <w:szCs w:val="21"/>
                <w:lang w:val="en-US" w:eastAsia="zh-CN"/>
              </w:rPr>
              <w:t>25</w:t>
            </w:r>
            <w:r>
              <w:rPr>
                <w:rFonts w:hint="default" w:ascii="Times New Roman" w:hAnsi="Times New Roman" w:cs="Times New Roman"/>
                <w:sz w:val="21"/>
                <w:szCs w:val="21"/>
              </w:rPr>
              <w:t>.0分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234" w:hRule="atLeast"/>
        </w:trPr>
        <w:tc>
          <w:tcPr>
            <w:tcW w:w="1277" w:type="dxa"/>
            <w:vMerge w:val="restart"/>
            <w:vAlign w:val="center"/>
          </w:tcPr>
          <w:p>
            <w:pPr>
              <w:widowControl/>
              <w:autoSpaceDE/>
              <w:autoSpaceDN/>
              <w:snapToGrid w:val="0"/>
              <w:spacing w:before="0" w:after="0" w:line="240" w:lineRule="auto"/>
              <w:ind w:left="42" w:leftChars="19" w:right="0"/>
              <w:jc w:val="center"/>
              <w:rPr>
                <w:rFonts w:ascii="Times New Roman" w:hAnsi="Times New Roman" w:cs="Times New Roman"/>
                <w:sz w:val="21"/>
                <w:szCs w:val="21"/>
              </w:rPr>
            </w:pPr>
            <w:r>
              <w:rPr>
                <w:rFonts w:hint="default" w:ascii="Times New Roman" w:hAnsi="Times New Roman" w:eastAsia="宋体" w:cs="Times New Roman"/>
                <w:color w:val="auto"/>
                <w:sz w:val="21"/>
                <w:szCs w:val="21"/>
                <w:highlight w:val="none"/>
                <w:lang w:val="en-US" w:bidi="ar-SA"/>
              </w:rPr>
              <w:t>技术部分（</w:t>
            </w:r>
            <w:r>
              <w:rPr>
                <w:rFonts w:hint="eastAsia" w:ascii="Times New Roman" w:hAnsi="Times New Roman" w:cs="Times New Roman"/>
                <w:color w:val="auto"/>
                <w:sz w:val="21"/>
                <w:szCs w:val="21"/>
                <w:highlight w:val="none"/>
                <w:lang w:val="en-US" w:eastAsia="zh-CN" w:bidi="ar-SA"/>
              </w:rPr>
              <w:t>45</w:t>
            </w:r>
            <w:r>
              <w:rPr>
                <w:rFonts w:hint="default" w:ascii="Times New Roman" w:hAnsi="Times New Roman" w:eastAsia="宋体" w:cs="Times New Roman"/>
                <w:color w:val="auto"/>
                <w:sz w:val="21"/>
                <w:szCs w:val="21"/>
                <w:highlight w:val="none"/>
                <w:lang w:val="en-US" w:bidi="ar-SA"/>
              </w:rPr>
              <w:t>分）</w:t>
            </w:r>
          </w:p>
        </w:tc>
        <w:tc>
          <w:tcPr>
            <w:tcW w:w="962" w:type="dxa"/>
            <w:vAlign w:val="center"/>
          </w:tcPr>
          <w:p>
            <w:pPr>
              <w:pStyle w:val="24"/>
              <w:spacing w:line="240" w:lineRule="auto"/>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整体服务方案</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15</w:t>
            </w:r>
            <w:r>
              <w:rPr>
                <w:rFonts w:hint="default" w:ascii="Times New Roman" w:hAnsi="Times New Roman" w:cs="Times New Roman"/>
                <w:sz w:val="21"/>
                <w:szCs w:val="21"/>
              </w:rPr>
              <w:t>分)</w:t>
            </w:r>
          </w:p>
        </w:tc>
        <w:tc>
          <w:tcPr>
            <w:tcW w:w="7202" w:type="dxa"/>
            <w:vAlign w:val="center"/>
          </w:tcPr>
          <w:p>
            <w:pPr>
              <w:pStyle w:val="24"/>
              <w:spacing w:line="312" w:lineRule="auto"/>
              <w:jc w:val="left"/>
              <w:rPr>
                <w:rFonts w:hint="eastAsia"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根据投标人针对本项目所提供的整体服务方案（包括但不限于服务内容、服务流程、</w:t>
            </w:r>
            <w:r>
              <w:rPr>
                <w:rFonts w:hint="eastAsia" w:ascii="Times New Roman" w:hAnsi="Times New Roman" w:eastAsia="宋体" w:cs="Times New Roman"/>
                <w:color w:val="auto"/>
                <w:sz w:val="21"/>
                <w:szCs w:val="21"/>
                <w:highlight w:val="none"/>
                <w:lang w:val="en-US" w:eastAsia="zh-CN" w:bidi="ar-SA"/>
              </w:rPr>
              <w:t>服务保</w:t>
            </w:r>
            <w:r>
              <w:rPr>
                <w:rFonts w:hint="default" w:ascii="Times New Roman" w:hAnsi="Times New Roman" w:eastAsia="宋体" w:cs="Times New Roman"/>
                <w:color w:val="auto"/>
                <w:sz w:val="21"/>
                <w:szCs w:val="21"/>
                <w:highlight w:val="none"/>
                <w:lang w:val="en-US" w:eastAsia="zh-CN" w:bidi="ar-SA"/>
              </w:rPr>
              <w:t>障、人才招聘实力、医疗人才数据积累等）进行综合评审</w:t>
            </w:r>
            <w:r>
              <w:rPr>
                <w:rFonts w:hint="eastAsia" w:ascii="Times New Roman" w:hAnsi="Times New Roman" w:eastAsia="宋体" w:cs="Times New Roman"/>
                <w:color w:val="auto"/>
                <w:sz w:val="21"/>
                <w:szCs w:val="21"/>
                <w:highlight w:val="none"/>
                <w:lang w:val="en-US" w:eastAsia="zh-CN" w:bidi="ar-SA"/>
              </w:rPr>
              <w:t>：</w:t>
            </w:r>
          </w:p>
          <w:p>
            <w:pPr>
              <w:pStyle w:val="24"/>
              <w:spacing w:line="312" w:lineRule="auto"/>
              <w:jc w:val="left"/>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（1）</w:t>
            </w:r>
            <w:r>
              <w:rPr>
                <w:rFonts w:hint="default" w:ascii="Times New Roman" w:hAnsi="Times New Roman" w:eastAsia="宋体" w:cs="Times New Roman"/>
                <w:color w:val="auto"/>
                <w:sz w:val="21"/>
                <w:szCs w:val="21"/>
                <w:highlight w:val="none"/>
                <w:lang w:val="en-US" w:eastAsia="zh-CN" w:bidi="ar-SA"/>
              </w:rPr>
              <w:t>整体服务方案制定详细全面、针对性强、科学合理且操作性强，管理措施和制度完善严密，完全满足且优于采购需求的，得</w:t>
            </w:r>
            <w:r>
              <w:rPr>
                <w:rFonts w:hint="eastAsia" w:ascii="Times New Roman" w:hAnsi="Times New Roman" w:eastAsia="宋体" w:cs="Times New Roman"/>
                <w:color w:val="auto"/>
                <w:sz w:val="21"/>
                <w:szCs w:val="21"/>
                <w:highlight w:val="none"/>
                <w:lang w:val="en-US" w:eastAsia="zh-CN" w:bidi="ar-SA"/>
              </w:rPr>
              <w:t>15</w:t>
            </w:r>
            <w:r>
              <w:rPr>
                <w:rFonts w:hint="default" w:ascii="Times New Roman" w:hAnsi="Times New Roman" w:eastAsia="宋体" w:cs="Times New Roman"/>
                <w:color w:val="auto"/>
                <w:sz w:val="21"/>
                <w:szCs w:val="21"/>
                <w:highlight w:val="none"/>
                <w:lang w:val="en-US" w:eastAsia="zh-CN" w:bidi="ar-SA"/>
              </w:rPr>
              <w:t>分</w:t>
            </w:r>
            <w:r>
              <w:rPr>
                <w:rFonts w:hint="eastAsia" w:ascii="Times New Roman" w:hAnsi="Times New Roman" w:eastAsia="宋体" w:cs="Times New Roman"/>
                <w:color w:val="auto"/>
                <w:sz w:val="21"/>
                <w:szCs w:val="21"/>
                <w:highlight w:val="none"/>
                <w:lang w:val="en-US" w:eastAsia="zh-CN" w:bidi="ar-SA"/>
              </w:rPr>
              <w:t>；</w:t>
            </w:r>
          </w:p>
          <w:p>
            <w:pPr>
              <w:pStyle w:val="24"/>
              <w:spacing w:line="312" w:lineRule="auto"/>
              <w:jc w:val="left"/>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（2）</w:t>
            </w:r>
            <w:r>
              <w:rPr>
                <w:rFonts w:hint="default" w:ascii="Times New Roman" w:hAnsi="Times New Roman" w:eastAsia="宋体" w:cs="Times New Roman"/>
                <w:color w:val="auto"/>
                <w:sz w:val="21"/>
                <w:szCs w:val="21"/>
                <w:highlight w:val="none"/>
                <w:lang w:val="en-US" w:eastAsia="zh-CN" w:bidi="ar-SA"/>
              </w:rPr>
              <w:t>整体服务方案制定较详细，针对性较强、基本合理、操作性较强，管理措施和制度较完善严密的，完全满足采购需求的，得</w:t>
            </w:r>
            <w:r>
              <w:rPr>
                <w:rFonts w:hint="eastAsia" w:ascii="Times New Roman" w:hAnsi="Times New Roman" w:eastAsia="宋体" w:cs="Times New Roman"/>
                <w:color w:val="auto"/>
                <w:sz w:val="21"/>
                <w:szCs w:val="21"/>
                <w:highlight w:val="none"/>
                <w:lang w:val="en-US" w:eastAsia="zh-CN" w:bidi="ar-SA"/>
              </w:rPr>
              <w:t>9</w:t>
            </w:r>
            <w:r>
              <w:rPr>
                <w:rFonts w:hint="default" w:ascii="Times New Roman" w:hAnsi="Times New Roman" w:eastAsia="宋体" w:cs="Times New Roman"/>
                <w:color w:val="auto"/>
                <w:sz w:val="21"/>
                <w:szCs w:val="21"/>
                <w:highlight w:val="none"/>
                <w:lang w:val="en-US" w:eastAsia="zh-CN" w:bidi="ar-SA"/>
              </w:rPr>
              <w:t>分</w:t>
            </w:r>
            <w:r>
              <w:rPr>
                <w:rFonts w:hint="eastAsia" w:ascii="Times New Roman" w:hAnsi="Times New Roman" w:eastAsia="宋体" w:cs="Times New Roman"/>
                <w:color w:val="auto"/>
                <w:sz w:val="21"/>
                <w:szCs w:val="21"/>
                <w:highlight w:val="none"/>
                <w:lang w:val="en-US" w:eastAsia="zh-CN" w:bidi="ar-SA"/>
              </w:rPr>
              <w:t>；</w:t>
            </w:r>
          </w:p>
          <w:p>
            <w:pPr>
              <w:pStyle w:val="24"/>
              <w:spacing w:line="312" w:lineRule="auto"/>
              <w:jc w:val="left"/>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（3）</w:t>
            </w:r>
            <w:r>
              <w:rPr>
                <w:rFonts w:hint="default" w:ascii="Times New Roman" w:hAnsi="Times New Roman" w:eastAsia="宋体" w:cs="Times New Roman"/>
                <w:color w:val="auto"/>
                <w:sz w:val="21"/>
                <w:szCs w:val="21"/>
                <w:highlight w:val="none"/>
                <w:lang w:val="en-US" w:eastAsia="zh-CN" w:bidi="ar-SA"/>
              </w:rPr>
              <w:t>整体服务方案制定基本完善，具有一定针对性及操作性，管理措施和制度基本完整的，基本满足采购需求的，得</w:t>
            </w:r>
            <w:r>
              <w:rPr>
                <w:rFonts w:hint="eastAsia" w:ascii="Times New Roman" w:hAnsi="Times New Roman" w:eastAsia="宋体" w:cs="Times New Roman"/>
                <w:color w:val="auto"/>
                <w:sz w:val="21"/>
                <w:szCs w:val="21"/>
                <w:highlight w:val="none"/>
                <w:lang w:val="en-US" w:eastAsia="zh-CN" w:bidi="ar-SA"/>
              </w:rPr>
              <w:t>3</w:t>
            </w:r>
            <w:r>
              <w:rPr>
                <w:rFonts w:hint="default" w:ascii="Times New Roman" w:hAnsi="Times New Roman" w:eastAsia="宋体" w:cs="Times New Roman"/>
                <w:color w:val="auto"/>
                <w:sz w:val="21"/>
                <w:szCs w:val="21"/>
                <w:highlight w:val="none"/>
                <w:lang w:val="en-US" w:eastAsia="zh-CN" w:bidi="ar-SA"/>
              </w:rPr>
              <w:t>分</w:t>
            </w:r>
            <w:r>
              <w:rPr>
                <w:rFonts w:hint="eastAsia" w:ascii="Times New Roman" w:hAnsi="Times New Roman" w:eastAsia="宋体" w:cs="Times New Roman"/>
                <w:color w:val="auto"/>
                <w:sz w:val="21"/>
                <w:szCs w:val="21"/>
                <w:highlight w:val="none"/>
                <w:lang w:val="en-US" w:eastAsia="zh-CN" w:bidi="ar-SA"/>
              </w:rPr>
              <w:t>；</w:t>
            </w:r>
          </w:p>
          <w:p>
            <w:pPr>
              <w:pStyle w:val="24"/>
              <w:spacing w:line="312" w:lineRule="auto"/>
              <w:jc w:val="left"/>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（4）</w:t>
            </w:r>
            <w:r>
              <w:rPr>
                <w:rFonts w:hint="default" w:ascii="Times New Roman" w:hAnsi="Times New Roman" w:eastAsia="宋体" w:cs="Times New Roman"/>
                <w:color w:val="auto"/>
                <w:sz w:val="21"/>
                <w:szCs w:val="21"/>
                <w:highlight w:val="none"/>
                <w:lang w:val="en-US" w:eastAsia="zh-CN" w:bidi="ar-SA"/>
              </w:rPr>
              <w:t>整体服务方案制定一般，针对性、操作性一般，管理措施和制度一般，不完全满足项目需求的，得1分</w:t>
            </w:r>
            <w:r>
              <w:rPr>
                <w:rFonts w:hint="eastAsia" w:ascii="Times New Roman" w:hAnsi="Times New Roman" w:eastAsia="宋体" w:cs="Times New Roman"/>
                <w:color w:val="auto"/>
                <w:sz w:val="21"/>
                <w:szCs w:val="21"/>
                <w:highlight w:val="none"/>
                <w:lang w:val="en-US" w:eastAsia="zh-CN" w:bidi="ar-SA"/>
              </w:rPr>
              <w:t>；</w:t>
            </w:r>
          </w:p>
          <w:p>
            <w:pPr>
              <w:pStyle w:val="24"/>
              <w:spacing w:line="312" w:lineRule="auto"/>
              <w:jc w:val="left"/>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（5）</w:t>
            </w:r>
            <w:r>
              <w:rPr>
                <w:rFonts w:hint="default" w:ascii="Times New Roman" w:hAnsi="Times New Roman" w:eastAsia="宋体" w:cs="Times New Roman"/>
                <w:color w:val="auto"/>
                <w:sz w:val="21"/>
                <w:szCs w:val="21"/>
                <w:highlight w:val="none"/>
                <w:lang w:val="en-US" w:eastAsia="zh-CN" w:bidi="ar-SA"/>
              </w:rPr>
              <w:t>未提供相应内容的不得分。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642" w:hRule="atLeast"/>
        </w:trPr>
        <w:tc>
          <w:tcPr>
            <w:tcW w:w="1277" w:type="dxa"/>
            <w:vMerge w:val="continue"/>
            <w:vAlign w:val="center"/>
          </w:tcPr>
          <w:p>
            <w:pPr>
              <w:widowControl/>
              <w:autoSpaceDE/>
              <w:autoSpaceDN/>
              <w:snapToGrid w:val="0"/>
              <w:spacing w:before="0" w:after="0" w:line="240" w:lineRule="auto"/>
              <w:ind w:left="42" w:leftChars="19" w:right="0"/>
              <w:jc w:val="left"/>
              <w:rPr>
                <w:rFonts w:hint="default" w:ascii="Times New Roman" w:hAnsi="Times New Roman" w:eastAsia="宋体" w:cs="Times New Roman"/>
                <w:color w:val="auto"/>
                <w:sz w:val="21"/>
                <w:szCs w:val="21"/>
                <w:highlight w:val="none"/>
                <w:lang w:val="en-US" w:bidi="ar-SA"/>
              </w:rPr>
            </w:pPr>
          </w:p>
        </w:tc>
        <w:tc>
          <w:tcPr>
            <w:tcW w:w="962" w:type="dxa"/>
            <w:vAlign w:val="center"/>
          </w:tcPr>
          <w:p>
            <w:pPr>
              <w:pStyle w:val="24"/>
              <w:spacing w:line="240" w:lineRule="auto"/>
              <w:jc w:val="left"/>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招聘平台</w:t>
            </w:r>
            <w:r>
              <w:rPr>
                <w:rFonts w:hint="eastAsia" w:ascii="Times New Roman" w:hAnsi="Times New Roman" w:cs="Times New Roman"/>
                <w:sz w:val="21"/>
                <w:szCs w:val="21"/>
                <w:lang w:val="en-US" w:eastAsia="zh-CN"/>
              </w:rPr>
              <w:t>功能(13分)</w:t>
            </w:r>
          </w:p>
        </w:tc>
        <w:tc>
          <w:tcPr>
            <w:tcW w:w="7202"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300" w:lineRule="auto"/>
              <w:ind w:left="0" w:leftChars="0" w:firstLine="0" w:firstLineChars="0"/>
              <w:jc w:val="left"/>
              <w:textAlignment w:val="auto"/>
              <w:rPr>
                <w:rFonts w:hint="eastAsia" w:ascii="Times New Roman" w:hAnsi="Times New Roman" w:eastAsia="宋体" w:cs="Times New Roman"/>
                <w:color w:val="auto"/>
                <w:sz w:val="21"/>
                <w:szCs w:val="21"/>
                <w:highlight w:val="none"/>
                <w:lang w:val="en-US" w:eastAsia="zh-CN" w:bidi="ar-SA"/>
              </w:rPr>
            </w:pPr>
            <w:r>
              <w:rPr>
                <w:rFonts w:hint="eastAsia" w:cs="宋体"/>
                <w:sz w:val="21"/>
                <w:szCs w:val="21"/>
                <w:highlight w:val="none"/>
                <w:lang w:val="en-US" w:eastAsia="zh-CN"/>
              </w:rPr>
              <w:t>根据投标人结合第二部分《用户需求书》中的相关要求提供的“</w:t>
            </w:r>
            <w:r>
              <w:rPr>
                <w:rFonts w:hint="eastAsia" w:ascii="宋体" w:hAnsi="宋体" w:eastAsia="宋体" w:cs="宋体"/>
                <w:sz w:val="21"/>
                <w:szCs w:val="21"/>
                <w:highlight w:val="none"/>
                <w:lang w:val="en-US" w:eastAsia="zh-CN"/>
              </w:rPr>
              <w:t>招聘平台</w:t>
            </w:r>
            <w:r>
              <w:rPr>
                <w:rFonts w:hint="eastAsia" w:cs="宋体"/>
                <w:sz w:val="21"/>
                <w:szCs w:val="21"/>
                <w:highlight w:val="none"/>
                <w:lang w:val="en-US" w:eastAsia="zh-CN"/>
              </w:rPr>
              <w:t>及工具”（包括但不限于针对</w:t>
            </w:r>
            <w:r>
              <w:rPr>
                <w:rFonts w:hint="default" w:ascii="Times New Roman" w:hAnsi="Times New Roman" w:eastAsia="宋体" w:cs="Times New Roman"/>
                <w:sz w:val="21"/>
                <w:szCs w:val="21"/>
                <w:lang w:val="en-US" w:eastAsia="zh-CN"/>
              </w:rPr>
              <w:t>①</w:t>
            </w:r>
            <w:r>
              <w:rPr>
                <w:rFonts w:hint="eastAsia" w:ascii="Times New Roman" w:hAnsi="Times New Roman" w:eastAsia="宋体" w:cs="Times New Roman"/>
                <w:color w:val="auto"/>
                <w:sz w:val="21"/>
                <w:szCs w:val="21"/>
                <w:highlight w:val="none"/>
                <w:lang w:val="en-US" w:eastAsia="zh-CN" w:bidi="ar-SA"/>
              </w:rPr>
              <w:t>自主运营的招聘平台包括但不限于PC端、微信小程序、微信公众号等；</w:t>
            </w:r>
            <w:r>
              <w:rPr>
                <w:rFonts w:hint="default" w:ascii="Times New Roman" w:hAnsi="Times New Roman" w:eastAsia="宋体" w:cs="Times New Roman"/>
                <w:sz w:val="21"/>
                <w:szCs w:val="21"/>
                <w:lang w:val="en-US" w:eastAsia="zh-CN"/>
              </w:rPr>
              <w:t>②</w:t>
            </w:r>
            <w:r>
              <w:rPr>
                <w:rFonts w:hint="eastAsia" w:ascii="Times New Roman" w:hAnsi="Times New Roman" w:eastAsia="宋体" w:cs="Times New Roman"/>
                <w:color w:val="auto"/>
                <w:sz w:val="21"/>
                <w:szCs w:val="21"/>
                <w:highlight w:val="none"/>
                <w:lang w:val="en-US" w:eastAsia="zh-CN" w:bidi="ar-SA"/>
              </w:rPr>
              <w:t>平台功能包括但不限于职位发布、简历下载、面试邀约等基础服务的</w:t>
            </w:r>
            <w:r>
              <w:rPr>
                <w:rFonts w:hint="eastAsia" w:ascii="Times New Roman" w:hAnsi="Times New Roman" w:cs="Times New Roman" w:eastAsiaTheme="minorEastAsia"/>
                <w:sz w:val="21"/>
                <w:szCs w:val="21"/>
                <w:lang w:val="en-US" w:eastAsia="zh-CN"/>
              </w:rPr>
              <w:t>招聘平台</w:t>
            </w:r>
            <w:r>
              <w:rPr>
                <w:rFonts w:hint="eastAsia" w:ascii="Times New Roman" w:hAnsi="Times New Roman" w:cs="Times New Roman"/>
                <w:sz w:val="21"/>
                <w:szCs w:val="21"/>
                <w:lang w:val="en-US" w:eastAsia="zh-CN"/>
              </w:rPr>
              <w:t>功能</w:t>
            </w:r>
            <w:r>
              <w:rPr>
                <w:rFonts w:hint="eastAsia" w:ascii="宋体" w:hAnsi="宋体" w:eastAsia="宋体" w:cs="宋体"/>
                <w:sz w:val="21"/>
                <w:szCs w:val="21"/>
                <w:highlight w:val="none"/>
                <w:lang w:val="en-US" w:eastAsia="zh-CN"/>
              </w:rPr>
              <w:t>；③具有专业化定制化公告报名简历收集筛选工具:报名表定制投递资料内容，生成报名二维码，</w:t>
            </w:r>
            <w:r>
              <w:rPr>
                <w:rFonts w:hint="eastAsia" w:cs="宋体"/>
                <w:sz w:val="21"/>
                <w:szCs w:val="21"/>
                <w:highlight w:val="none"/>
                <w:lang w:val="en-US" w:eastAsia="zh-CN"/>
              </w:rPr>
              <w:t>应聘人员</w:t>
            </w:r>
            <w:r>
              <w:rPr>
                <w:rFonts w:hint="eastAsia" w:ascii="宋体" w:hAnsi="宋体" w:eastAsia="宋体" w:cs="宋体"/>
                <w:sz w:val="21"/>
                <w:szCs w:val="21"/>
                <w:highlight w:val="none"/>
                <w:lang w:val="en-US" w:eastAsia="zh-CN"/>
              </w:rPr>
              <w:t>扫</w:t>
            </w:r>
            <w:r>
              <w:rPr>
                <w:rFonts w:hint="eastAsia" w:cs="宋体"/>
                <w:sz w:val="21"/>
                <w:szCs w:val="21"/>
                <w:highlight w:val="none"/>
                <w:lang w:val="en-US" w:eastAsia="zh-CN"/>
              </w:rPr>
              <w:t>码</w:t>
            </w:r>
            <w:r>
              <w:rPr>
                <w:rFonts w:hint="eastAsia" w:ascii="宋体" w:hAnsi="宋体" w:eastAsia="宋体" w:cs="宋体"/>
                <w:sz w:val="21"/>
                <w:szCs w:val="21"/>
                <w:highlight w:val="none"/>
                <w:lang w:val="en-US" w:eastAsia="zh-CN"/>
              </w:rPr>
              <w:t>投简历；在线筛选简历，可同步通知应聘者，生成筛选资料表格，向合格候选人发送相关招聘通知，专业化定制化公告报名简历收集筛选工具（使用次数不限量）。</w:t>
            </w:r>
            <w:r>
              <w:rPr>
                <w:rFonts w:hint="eastAsia" w:ascii="Times New Roman" w:hAnsi="Times New Roman" w:eastAsia="宋体" w:cs="Times New Roman"/>
                <w:color w:val="auto"/>
                <w:sz w:val="21"/>
                <w:szCs w:val="21"/>
                <w:highlight w:val="none"/>
                <w:lang w:val="en-US" w:eastAsia="zh-CN" w:bidi="ar-SA"/>
              </w:rPr>
              <w:t>”进行</w:t>
            </w:r>
            <w:r>
              <w:rPr>
                <w:rFonts w:hint="eastAsia" w:ascii="Times New Roman" w:hAnsi="Times New Roman" w:cs="Times New Roman"/>
                <w:b/>
                <w:bCs/>
                <w:sz w:val="21"/>
                <w:szCs w:val="21"/>
                <w:lang w:val="en-US" w:eastAsia="zh-CN"/>
              </w:rPr>
              <w:t>在线平台功能操作展示及佐证材料</w:t>
            </w:r>
            <w:r>
              <w:rPr>
                <w:rFonts w:hint="eastAsia" w:ascii="Times New Roman" w:hAnsi="Times New Roman" w:cs="Times New Roman"/>
                <w:b w:val="0"/>
                <w:bCs w:val="0"/>
                <w:sz w:val="21"/>
                <w:szCs w:val="21"/>
                <w:lang w:val="en-US" w:eastAsia="zh-CN"/>
              </w:rPr>
              <w:t>（如使用链接、使用界面截图、</w:t>
            </w:r>
            <w:r>
              <w:rPr>
                <w:rFonts w:hint="eastAsia" w:ascii="Times New Roman" w:hAnsi="Times New Roman" w:eastAsia="宋体" w:cs="Times New Roman"/>
                <w:color w:val="auto"/>
                <w:sz w:val="21"/>
                <w:szCs w:val="21"/>
                <w:highlight w:val="none"/>
                <w:lang w:val="en-US" w:eastAsia="zh-CN" w:bidi="ar-SA"/>
              </w:rPr>
              <w:t>自主运营的相关认证等</w:t>
            </w:r>
            <w:r>
              <w:rPr>
                <w:rFonts w:hint="eastAsia" w:ascii="Times New Roman" w:hAnsi="Times New Roman" w:cs="Times New Roman"/>
                <w:b w:val="0"/>
                <w:bCs w:val="0"/>
                <w:sz w:val="21"/>
                <w:szCs w:val="21"/>
                <w:lang w:val="en-US" w:eastAsia="zh-CN"/>
              </w:rPr>
              <w:t>）</w:t>
            </w:r>
            <w:r>
              <w:rPr>
                <w:rFonts w:hint="eastAsia" w:ascii="Times New Roman" w:hAnsi="Times New Roman" w:eastAsia="宋体" w:cs="Times New Roman"/>
                <w:b w:val="0"/>
                <w:bCs w:val="0"/>
                <w:color w:val="auto"/>
                <w:sz w:val="21"/>
                <w:szCs w:val="21"/>
                <w:highlight w:val="none"/>
                <w:lang w:val="en-US" w:eastAsia="zh-CN" w:bidi="ar-SA"/>
              </w:rPr>
              <w:t>综合评审</w:t>
            </w:r>
            <w:r>
              <w:rPr>
                <w:rFonts w:hint="eastAsia" w:ascii="Times New Roman" w:hAnsi="Times New Roman" w:eastAsia="宋体" w:cs="Times New Roman"/>
                <w:color w:val="auto"/>
                <w:sz w:val="21"/>
                <w:szCs w:val="21"/>
                <w:highlight w:val="none"/>
                <w:lang w:val="en-US" w:eastAsia="zh-CN" w:bidi="ar-SA"/>
              </w:rPr>
              <w:t>：</w:t>
            </w:r>
          </w:p>
          <w:p>
            <w:pPr>
              <w:pStyle w:val="24"/>
              <w:keepNext w:val="0"/>
              <w:keepLines w:val="0"/>
              <w:pageBreakBefore w:val="0"/>
              <w:widowControl/>
              <w:numPr>
                <w:ilvl w:val="0"/>
                <w:numId w:val="0"/>
              </w:numPr>
              <w:kinsoku/>
              <w:wordWrap/>
              <w:overflowPunct/>
              <w:topLinePunct w:val="0"/>
              <w:autoSpaceDE/>
              <w:autoSpaceDN/>
              <w:bidi w:val="0"/>
              <w:adjustRightInd/>
              <w:snapToGrid/>
              <w:spacing w:line="300" w:lineRule="auto"/>
              <w:ind w:left="0" w:leftChars="0" w:firstLine="0" w:firstLineChars="0"/>
              <w:jc w:val="left"/>
              <w:textAlignment w:val="auto"/>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（1）针对上述全部量化指标作出了明确的响应，且每个量化指标完全满足或者优于采购需求，得13分；</w:t>
            </w:r>
          </w:p>
          <w:p>
            <w:pPr>
              <w:pStyle w:val="24"/>
              <w:keepNext w:val="0"/>
              <w:keepLines w:val="0"/>
              <w:pageBreakBefore w:val="0"/>
              <w:widowControl/>
              <w:numPr>
                <w:ilvl w:val="0"/>
                <w:numId w:val="0"/>
              </w:numPr>
              <w:kinsoku/>
              <w:wordWrap/>
              <w:overflowPunct/>
              <w:topLinePunct w:val="0"/>
              <w:autoSpaceDE/>
              <w:autoSpaceDN/>
              <w:bidi w:val="0"/>
              <w:adjustRightInd/>
              <w:snapToGrid/>
              <w:spacing w:line="300" w:lineRule="auto"/>
              <w:ind w:left="0" w:leftChars="0" w:firstLine="0" w:firstLineChars="0"/>
              <w:jc w:val="left"/>
              <w:textAlignment w:val="auto"/>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（2）只针对上述量化指标中的其中2项作出明确响应，且相应量化指标完全满足或者优于这些量化指标所对应的采购需求，得7分；</w:t>
            </w:r>
          </w:p>
          <w:p>
            <w:pPr>
              <w:pStyle w:val="24"/>
              <w:keepNext w:val="0"/>
              <w:keepLines w:val="0"/>
              <w:pageBreakBefore w:val="0"/>
              <w:widowControl/>
              <w:numPr>
                <w:ilvl w:val="0"/>
                <w:numId w:val="0"/>
              </w:numPr>
              <w:kinsoku/>
              <w:wordWrap/>
              <w:overflowPunct/>
              <w:topLinePunct w:val="0"/>
              <w:autoSpaceDE/>
              <w:autoSpaceDN/>
              <w:bidi w:val="0"/>
              <w:adjustRightInd/>
              <w:snapToGrid/>
              <w:spacing w:line="300" w:lineRule="auto"/>
              <w:ind w:left="0" w:leftChars="0" w:firstLine="0" w:firstLineChars="0"/>
              <w:jc w:val="left"/>
              <w:textAlignment w:val="auto"/>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（3）只针对上述量化指标中的其中1项作出明确响应，且相应量化指标完全满足或者优于该量化指标所对应的采购需求，得2分；</w:t>
            </w:r>
          </w:p>
          <w:p>
            <w:pPr>
              <w:pStyle w:val="24"/>
              <w:keepNext w:val="0"/>
              <w:keepLines w:val="0"/>
              <w:pageBreakBefore w:val="0"/>
              <w:widowControl/>
              <w:numPr>
                <w:ilvl w:val="0"/>
                <w:numId w:val="0"/>
              </w:numPr>
              <w:kinsoku/>
              <w:wordWrap/>
              <w:overflowPunct/>
              <w:topLinePunct w:val="0"/>
              <w:autoSpaceDE/>
              <w:autoSpaceDN/>
              <w:bidi w:val="0"/>
              <w:adjustRightInd/>
              <w:snapToGrid/>
              <w:spacing w:line="300" w:lineRule="auto"/>
              <w:ind w:left="0" w:leftChars="0" w:firstLine="0" w:firstLineChars="0"/>
              <w:jc w:val="left"/>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color w:val="auto"/>
                <w:sz w:val="21"/>
                <w:szCs w:val="21"/>
                <w:highlight w:val="none"/>
                <w:lang w:val="en-US" w:eastAsia="zh-CN" w:bidi="ar-SA"/>
              </w:rPr>
              <w:t>（4）未针对上述量化指标中的任何一项作出响应；或者虽针对上述全部量化指标作出了响应但均不能满足采购需求；或者未提供本项内容，本项</w:t>
            </w:r>
            <w:r>
              <w:rPr>
                <w:rFonts w:hint="default" w:ascii="Times New Roman" w:hAnsi="Times New Roman" w:eastAsia="宋体" w:cs="Times New Roman"/>
                <w:color w:val="auto"/>
                <w:sz w:val="21"/>
                <w:szCs w:val="21"/>
                <w:highlight w:val="none"/>
                <w:lang w:val="en-US" w:eastAsia="zh-CN" w:bidi="ar-SA"/>
              </w:rPr>
              <w:t>不得分</w:t>
            </w:r>
            <w:r>
              <w:rPr>
                <w:rFonts w:hint="eastAsia" w:ascii="Times New Roman" w:hAnsi="Times New Roman" w:eastAsia="宋体" w:cs="Times New Roman"/>
                <w:color w:val="auto"/>
                <w:sz w:val="21"/>
                <w:szCs w:val="21"/>
                <w:highlight w:val="none"/>
                <w:lang w:val="en-US" w:eastAsia="zh-CN" w:bidi="ar-SA"/>
              </w:rPr>
              <w:t>。</w:t>
            </w:r>
            <w:r>
              <w:rPr>
                <w:rFonts w:hint="eastAsia" w:ascii="Times New Roman" w:hAnsi="Times New Roman" w:eastAsia="宋体" w:cs="Times New Roman"/>
                <w:b/>
                <w:bCs/>
                <w:color w:val="auto"/>
                <w:sz w:val="21"/>
                <w:szCs w:val="21"/>
                <w:highlight w:val="none"/>
                <w:lang w:val="en-US" w:eastAsia="zh-CN" w:bidi="ar-SA"/>
              </w:rPr>
              <w:t>说明：</w:t>
            </w:r>
            <w:r>
              <w:rPr>
                <w:rFonts w:hint="default" w:ascii="Times New Roman" w:hAnsi="Times New Roman" w:eastAsia="宋体" w:cs="Times New Roman"/>
                <w:sz w:val="21"/>
                <w:szCs w:val="21"/>
                <w:lang w:val="en-US" w:eastAsia="zh-CN"/>
              </w:rPr>
              <w:t>投标</w:t>
            </w:r>
            <w:r>
              <w:rPr>
                <w:rFonts w:hint="eastAsia" w:ascii="Times New Roman" w:hAnsi="Times New Roman" w:eastAsia="宋体" w:cs="Times New Roman"/>
                <w:sz w:val="21"/>
                <w:szCs w:val="21"/>
                <w:lang w:val="en-US" w:eastAsia="zh-CN"/>
              </w:rPr>
              <w:t>人需在评标当天</w:t>
            </w:r>
            <w:r>
              <w:rPr>
                <w:rFonts w:hint="eastAsia" w:ascii="Times New Roman" w:hAnsi="Times New Roman" w:eastAsia="宋体" w:cs="Times New Roman"/>
                <w:b/>
                <w:bCs/>
                <w:sz w:val="21"/>
                <w:szCs w:val="21"/>
                <w:lang w:val="en-US" w:eastAsia="zh-CN"/>
              </w:rPr>
              <w:t>在线或现场演示</w:t>
            </w:r>
            <w:r>
              <w:rPr>
                <w:rFonts w:hint="eastAsia" w:ascii="Times New Roman" w:hAnsi="Times New Roman" w:cs="Times New Roman"/>
                <w:b w:val="0"/>
                <w:bCs w:val="0"/>
                <w:sz w:val="21"/>
                <w:szCs w:val="21"/>
                <w:lang w:val="en-US" w:eastAsia="zh-CN"/>
              </w:rPr>
              <w:t>平台功能操作，并提供相关</w:t>
            </w:r>
            <w:r>
              <w:rPr>
                <w:rFonts w:hint="eastAsia" w:ascii="Times New Roman" w:hAnsi="Times New Roman" w:cs="Times New Roman"/>
                <w:b/>
                <w:bCs/>
                <w:sz w:val="21"/>
                <w:szCs w:val="21"/>
                <w:lang w:val="en-US" w:eastAsia="zh-CN"/>
              </w:rPr>
              <w:t>佐证材料</w:t>
            </w:r>
            <w:r>
              <w:rPr>
                <w:rFonts w:hint="eastAsia" w:ascii="Times New Roman" w:hAnsi="Times New Roman" w:cs="Times New Roman"/>
                <w:b w:val="0"/>
                <w:bCs w:val="0"/>
                <w:sz w:val="21"/>
                <w:szCs w:val="21"/>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33" w:hRule="atLeast"/>
        </w:trPr>
        <w:tc>
          <w:tcPr>
            <w:tcW w:w="1277" w:type="dxa"/>
            <w:vMerge w:val="continue"/>
            <w:vAlign w:val="center"/>
          </w:tcPr>
          <w:p>
            <w:pPr>
              <w:spacing w:line="240" w:lineRule="auto"/>
              <w:jc w:val="left"/>
              <w:rPr>
                <w:rFonts w:ascii="Times New Roman" w:hAnsi="Times New Roman" w:cs="Times New Roman"/>
                <w:sz w:val="21"/>
                <w:szCs w:val="21"/>
              </w:rPr>
            </w:pPr>
          </w:p>
        </w:tc>
        <w:tc>
          <w:tcPr>
            <w:tcW w:w="962" w:type="dxa"/>
            <w:vAlign w:val="center"/>
          </w:tcPr>
          <w:p>
            <w:pPr>
              <w:pStyle w:val="24"/>
              <w:spacing w:line="240" w:lineRule="auto"/>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平台推广能力</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10</w:t>
            </w:r>
            <w:r>
              <w:rPr>
                <w:rFonts w:hint="default" w:ascii="Times New Roman" w:hAnsi="Times New Roman" w:cs="Times New Roman"/>
                <w:sz w:val="21"/>
                <w:szCs w:val="21"/>
              </w:rPr>
              <w:t>分)</w:t>
            </w:r>
          </w:p>
        </w:tc>
        <w:tc>
          <w:tcPr>
            <w:tcW w:w="7202" w:type="dxa"/>
            <w:vAlign w:val="center"/>
          </w:tcPr>
          <w:p>
            <w:pPr>
              <w:pStyle w:val="24"/>
              <w:widowControl/>
              <w:autoSpaceDE/>
              <w:autoSpaceDN/>
              <w:spacing w:before="0" w:after="0" w:line="312" w:lineRule="auto"/>
              <w:ind w:left="0" w:right="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根据投标人提供的</w:t>
            </w:r>
            <w:r>
              <w:rPr>
                <w:rFonts w:hint="eastAsia" w:ascii="Times New Roman" w:hAnsi="Times New Roman" w:cs="Times New Roman"/>
                <w:sz w:val="21"/>
                <w:szCs w:val="21"/>
                <w:lang w:val="en-US" w:eastAsia="zh-CN"/>
              </w:rPr>
              <w:t>平台推广能力</w:t>
            </w:r>
            <w:r>
              <w:rPr>
                <w:rFonts w:hint="eastAsia" w:ascii="宋体" w:hAnsi="宋体" w:eastAsia="宋体" w:cs="宋体"/>
                <w:color w:val="auto"/>
                <w:sz w:val="21"/>
                <w:szCs w:val="21"/>
                <w:highlight w:val="none"/>
                <w:lang w:val="en-US" w:eastAsia="zh-CN" w:bidi="ar-SA"/>
              </w:rPr>
              <w:t>进行评审：</w:t>
            </w:r>
          </w:p>
          <w:p>
            <w:pPr>
              <w:pStyle w:val="24"/>
              <w:spacing w:line="312" w:lineRule="auto"/>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（1）推广公告可挂政府公告外链：</w:t>
            </w:r>
            <w:r>
              <w:rPr>
                <w:rFonts w:hint="default" w:ascii="Times New Roman" w:hAnsi="Times New Roman" w:eastAsia="宋体" w:cs="Times New Roman"/>
                <w:sz w:val="21"/>
                <w:szCs w:val="21"/>
                <w:lang w:val="en-US" w:eastAsia="zh-CN"/>
              </w:rPr>
              <w:t>①</w:t>
            </w:r>
            <w:r>
              <w:rPr>
                <w:rFonts w:hint="eastAsia" w:ascii="Times New Roman" w:hAnsi="Times New Roman" w:eastAsia="宋体" w:cs="Times New Roman"/>
                <w:sz w:val="21"/>
                <w:szCs w:val="21"/>
                <w:lang w:val="en-US" w:eastAsia="zh-CN"/>
              </w:rPr>
              <w:t>PC端官网推广公告可挂政府公告外链的，得2分；</w:t>
            </w:r>
            <w:r>
              <w:rPr>
                <w:rFonts w:hint="default" w:ascii="Times New Roman" w:hAnsi="Times New Roman" w:eastAsia="宋体" w:cs="Times New Roman"/>
                <w:sz w:val="21"/>
                <w:szCs w:val="21"/>
                <w:lang w:val="en-US" w:eastAsia="zh-CN"/>
              </w:rPr>
              <w:t>②</w:t>
            </w:r>
            <w:r>
              <w:rPr>
                <w:rFonts w:hint="eastAsia" w:ascii="Times New Roman" w:hAnsi="Times New Roman" w:eastAsia="宋体" w:cs="Times New Roman"/>
                <w:sz w:val="21"/>
                <w:szCs w:val="21"/>
                <w:lang w:val="en-US" w:eastAsia="zh-CN"/>
              </w:rPr>
              <w:t>微信公众号推广公告可挂政府公告外链的，得2分；</w:t>
            </w:r>
          </w:p>
          <w:p>
            <w:pPr>
              <w:pStyle w:val="24"/>
              <w:spacing w:line="312" w:lineRule="auto"/>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val="en-US" w:eastAsia="zh-CN"/>
              </w:rPr>
              <w:t>推广天数</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①PC端官网推广公告</w:t>
            </w:r>
            <w:r>
              <w:rPr>
                <w:rFonts w:hint="eastAsia" w:ascii="Times New Roman" w:hAnsi="Times New Roman" w:eastAsia="宋体" w:cs="Times New Roman"/>
                <w:sz w:val="21"/>
                <w:szCs w:val="21"/>
                <w:lang w:val="en-US" w:eastAsia="zh-CN"/>
              </w:rPr>
              <w:t>累计天数在满足120天要求的基础上，每多推广10天加1分，此项满分3分；</w:t>
            </w:r>
            <w:r>
              <w:rPr>
                <w:rFonts w:hint="default" w:ascii="Times New Roman" w:hAnsi="Times New Roman" w:eastAsia="宋体" w:cs="Times New Roman"/>
                <w:sz w:val="21"/>
                <w:szCs w:val="21"/>
                <w:lang w:val="en-US" w:eastAsia="zh-CN"/>
              </w:rPr>
              <w:t>②微信公众号推广公告</w:t>
            </w:r>
            <w:r>
              <w:rPr>
                <w:rFonts w:hint="eastAsia" w:ascii="Times New Roman" w:hAnsi="Times New Roman" w:eastAsia="宋体" w:cs="Times New Roman"/>
                <w:sz w:val="21"/>
                <w:szCs w:val="21"/>
                <w:lang w:val="en-US" w:eastAsia="zh-CN"/>
              </w:rPr>
              <w:t>累计次数在满足</w:t>
            </w:r>
            <w:r>
              <w:rPr>
                <w:rFonts w:hint="default" w:ascii="Times New Roman" w:hAnsi="Times New Roman" w:eastAsia="宋体" w:cs="Times New Roman"/>
                <w:sz w:val="21"/>
                <w:szCs w:val="21"/>
                <w:lang w:val="en-US" w:eastAsia="zh-CN"/>
              </w:rPr>
              <w:t>一年至少4次</w:t>
            </w:r>
            <w:r>
              <w:rPr>
                <w:rFonts w:hint="eastAsia" w:ascii="Times New Roman" w:hAnsi="Times New Roman" w:eastAsia="宋体" w:cs="Times New Roman"/>
                <w:sz w:val="21"/>
                <w:szCs w:val="21"/>
                <w:lang w:val="en-US" w:eastAsia="zh-CN"/>
              </w:rPr>
              <w:t>的基础上，每年度多一次加1分，此项满分3分。</w:t>
            </w:r>
          </w:p>
          <w:p>
            <w:pPr>
              <w:pStyle w:val="24"/>
              <w:spacing w:line="312" w:lineRule="auto"/>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b/>
                <w:bCs/>
                <w:color w:val="auto"/>
                <w:sz w:val="21"/>
                <w:szCs w:val="21"/>
                <w:highlight w:val="none"/>
                <w:lang w:val="en-US" w:eastAsia="zh-CN" w:bidi="ar-SA"/>
              </w:rPr>
              <w:t>说明：</w:t>
            </w:r>
            <w:r>
              <w:rPr>
                <w:rFonts w:hint="default" w:ascii="Times New Roman" w:hAnsi="Times New Roman" w:eastAsia="宋体" w:cs="Times New Roman"/>
                <w:sz w:val="21"/>
                <w:szCs w:val="21"/>
                <w:lang w:val="en-US" w:eastAsia="zh-CN"/>
              </w:rPr>
              <w:t>投标文件中须提供</w:t>
            </w:r>
            <w:r>
              <w:rPr>
                <w:rFonts w:hint="eastAsia" w:ascii="Times New Roman" w:hAnsi="Times New Roman" w:cs="Times New Roman"/>
                <w:sz w:val="21"/>
                <w:szCs w:val="21"/>
                <w:lang w:val="en-US" w:eastAsia="zh-CN"/>
              </w:rPr>
              <w:t>平台推广</w:t>
            </w:r>
            <w:r>
              <w:rPr>
                <w:rFonts w:hint="default" w:ascii="Times New Roman" w:hAnsi="Times New Roman" w:eastAsia="宋体" w:cs="Times New Roman"/>
                <w:sz w:val="21"/>
                <w:szCs w:val="21"/>
                <w:lang w:val="en-US" w:eastAsia="zh-CN"/>
              </w:rPr>
              <w:t>保障承诺函（内容应当体现</w:t>
            </w:r>
            <w:r>
              <w:rPr>
                <w:rFonts w:hint="eastAsia" w:ascii="Times New Roman" w:hAnsi="Times New Roman" w:cs="Times New Roman"/>
                <w:sz w:val="21"/>
                <w:szCs w:val="21"/>
                <w:lang w:val="en-US" w:eastAsia="zh-CN"/>
              </w:rPr>
              <w:t>平台推广</w:t>
            </w:r>
            <w:r>
              <w:rPr>
                <w:rFonts w:hint="default" w:ascii="Times New Roman" w:hAnsi="Times New Roman" w:eastAsia="宋体" w:cs="Times New Roman"/>
                <w:sz w:val="21"/>
                <w:szCs w:val="21"/>
                <w:lang w:val="en-US" w:eastAsia="zh-CN"/>
              </w:rPr>
              <w:t>的</w:t>
            </w:r>
            <w:r>
              <w:rPr>
                <w:rFonts w:hint="eastAsia" w:ascii="Times New Roman" w:hAnsi="Times New Roman" w:eastAsia="宋体" w:cs="Times New Roman"/>
                <w:sz w:val="21"/>
                <w:szCs w:val="21"/>
                <w:lang w:val="en-US" w:eastAsia="zh-CN"/>
              </w:rPr>
              <w:t>类型</w:t>
            </w:r>
            <w:r>
              <w:rPr>
                <w:rFonts w:hint="default" w:ascii="Times New Roman" w:hAnsi="Times New Roman" w:eastAsia="宋体" w:cs="Times New Roman"/>
                <w:sz w:val="21"/>
                <w:szCs w:val="21"/>
                <w:lang w:val="en-US" w:eastAsia="zh-CN"/>
              </w:rPr>
              <w:t>、数量等</w:t>
            </w:r>
            <w:r>
              <w:rPr>
                <w:rFonts w:hint="eastAsia" w:ascii="Times New Roman" w:hAnsi="Times New Roman" w:eastAsia="宋体" w:cs="Times New Roman"/>
                <w:sz w:val="21"/>
                <w:szCs w:val="21"/>
                <w:lang w:val="en-US" w:eastAsia="zh-CN"/>
              </w:rPr>
              <w:t>上述</w:t>
            </w:r>
            <w:r>
              <w:rPr>
                <w:rFonts w:hint="default" w:ascii="Times New Roman" w:hAnsi="Times New Roman" w:eastAsia="宋体" w:cs="Times New Roman"/>
                <w:sz w:val="21"/>
                <w:szCs w:val="21"/>
                <w:lang w:val="en-US" w:eastAsia="zh-CN"/>
              </w:rPr>
              <w:t>相关内容，格式自拟）加盖投标人公章，未提供或提供的资料不符合要求的则不得分。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33" w:hRule="atLeast"/>
        </w:trPr>
        <w:tc>
          <w:tcPr>
            <w:tcW w:w="1277" w:type="dxa"/>
            <w:vMerge w:val="continue"/>
            <w:vAlign w:val="center"/>
          </w:tcPr>
          <w:p>
            <w:pPr>
              <w:spacing w:line="240" w:lineRule="auto"/>
              <w:jc w:val="left"/>
              <w:rPr>
                <w:rFonts w:ascii="Times New Roman" w:hAnsi="Times New Roman" w:cs="Times New Roman"/>
                <w:sz w:val="21"/>
                <w:szCs w:val="21"/>
              </w:rPr>
            </w:pPr>
          </w:p>
        </w:tc>
        <w:tc>
          <w:tcPr>
            <w:tcW w:w="962" w:type="dxa"/>
            <w:vAlign w:val="center"/>
          </w:tcPr>
          <w:p>
            <w:pPr>
              <w:pStyle w:val="24"/>
              <w:spacing w:line="240" w:lineRule="auto"/>
              <w:jc w:val="center"/>
              <w:rPr>
                <w:rFonts w:hint="default" w:ascii="Times New Roman" w:hAnsi="Times New Roman" w:cs="Times New Roman"/>
                <w:sz w:val="21"/>
                <w:szCs w:val="21"/>
              </w:rPr>
            </w:pPr>
            <w:r>
              <w:rPr>
                <w:rFonts w:hint="eastAsia" w:ascii="宋体" w:hAnsi="宋体" w:eastAsia="宋体" w:cs="宋体"/>
                <w:color w:val="auto"/>
                <w:sz w:val="21"/>
                <w:szCs w:val="21"/>
                <w:highlight w:val="none"/>
                <w:lang w:val="en-US" w:eastAsia="zh-CN" w:bidi="ar-SA"/>
              </w:rPr>
              <w:t>增值特色服务方案</w:t>
            </w:r>
            <w:r>
              <w:rPr>
                <w:rFonts w:hint="eastAsia" w:ascii="Times New Roman" w:hAnsi="Times New Roman" w:cs="Times New Roman"/>
                <w:sz w:val="21"/>
                <w:szCs w:val="21"/>
                <w:lang w:val="en-US" w:eastAsia="zh-CN"/>
              </w:rPr>
              <w:t>（7分）</w:t>
            </w:r>
          </w:p>
        </w:tc>
        <w:tc>
          <w:tcPr>
            <w:tcW w:w="7202" w:type="dxa"/>
            <w:vAlign w:val="center"/>
          </w:tcPr>
          <w:p>
            <w:pPr>
              <w:widowControl/>
              <w:autoSpaceDE/>
              <w:autoSpaceDN/>
              <w:spacing w:before="0" w:after="0" w:line="288" w:lineRule="auto"/>
              <w:ind w:left="0" w:right="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根据投标人提供的增值服务和特色服务进行评审：</w:t>
            </w:r>
          </w:p>
          <w:p>
            <w:pPr>
              <w:widowControl/>
              <w:autoSpaceDE/>
              <w:autoSpaceDN/>
              <w:spacing w:before="0" w:after="0" w:line="288" w:lineRule="auto"/>
              <w:ind w:left="0" w:right="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1.服务亮点鲜明、方案具体完善、合理可行，得</w:t>
            </w:r>
            <w:r>
              <w:rPr>
                <w:rFonts w:hint="eastAsia" w:cs="宋体"/>
                <w:color w:val="auto"/>
                <w:sz w:val="21"/>
                <w:szCs w:val="21"/>
                <w:highlight w:val="none"/>
                <w:lang w:val="en-US" w:eastAsia="zh-CN" w:bidi="ar-SA"/>
              </w:rPr>
              <w:t>7</w:t>
            </w:r>
            <w:r>
              <w:rPr>
                <w:rFonts w:hint="eastAsia" w:ascii="宋体" w:hAnsi="宋体" w:eastAsia="宋体" w:cs="宋体"/>
                <w:color w:val="auto"/>
                <w:sz w:val="21"/>
                <w:szCs w:val="21"/>
                <w:highlight w:val="none"/>
                <w:lang w:val="en-US" w:eastAsia="zh-CN" w:bidi="ar-SA"/>
              </w:rPr>
              <w:t>分；</w:t>
            </w:r>
          </w:p>
          <w:p>
            <w:pPr>
              <w:widowControl/>
              <w:autoSpaceDE/>
              <w:autoSpaceDN/>
              <w:spacing w:before="0" w:after="0" w:line="288" w:lineRule="auto"/>
              <w:ind w:left="0" w:right="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2.服务有亮点、方案较为完善、具有一定合理性、可行性，得</w:t>
            </w:r>
            <w:r>
              <w:rPr>
                <w:rFonts w:hint="eastAsia" w:cs="宋体"/>
                <w:color w:val="auto"/>
                <w:sz w:val="21"/>
                <w:szCs w:val="21"/>
                <w:highlight w:val="none"/>
                <w:lang w:val="en-US" w:eastAsia="zh-CN" w:bidi="ar-SA"/>
              </w:rPr>
              <w:t>4</w:t>
            </w:r>
            <w:r>
              <w:rPr>
                <w:rFonts w:hint="eastAsia" w:ascii="宋体" w:hAnsi="宋体" w:eastAsia="宋体" w:cs="宋体"/>
                <w:color w:val="auto"/>
                <w:sz w:val="21"/>
                <w:szCs w:val="21"/>
                <w:highlight w:val="none"/>
                <w:lang w:val="en-US" w:eastAsia="zh-CN" w:bidi="ar-SA"/>
              </w:rPr>
              <w:t>分；</w:t>
            </w:r>
          </w:p>
          <w:p>
            <w:pPr>
              <w:widowControl/>
              <w:autoSpaceDE/>
              <w:autoSpaceDN/>
              <w:spacing w:before="0" w:after="0" w:line="288" w:lineRule="auto"/>
              <w:ind w:left="0" w:right="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3.服务亮点欠缺，方案欠具体，合理性、可行性一般，得1分；</w:t>
            </w:r>
          </w:p>
          <w:p>
            <w:pPr>
              <w:pStyle w:val="24"/>
              <w:spacing w:line="240" w:lineRule="auto"/>
              <w:jc w:val="left"/>
              <w:rPr>
                <w:rFonts w:hint="default" w:ascii="Times New Roman" w:hAnsi="Times New Roman" w:eastAsia="宋体" w:cs="Times New Roman"/>
                <w:sz w:val="21"/>
                <w:szCs w:val="21"/>
                <w:lang w:val="en-US" w:eastAsia="zh-CN"/>
              </w:rPr>
            </w:pPr>
            <w:r>
              <w:rPr>
                <w:rFonts w:hint="eastAsia" w:ascii="宋体" w:hAnsi="宋体" w:eastAsia="宋体" w:cs="宋体"/>
                <w:color w:val="auto"/>
                <w:sz w:val="21"/>
                <w:szCs w:val="21"/>
                <w:highlight w:val="none"/>
                <w:lang w:val="en-US" w:eastAsia="zh-CN" w:bidi="ar-SA"/>
              </w:rPr>
              <w:t>4.无提供相关方案的得0分。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38" w:hRule="atLeast"/>
        </w:trPr>
        <w:tc>
          <w:tcPr>
            <w:tcW w:w="1277" w:type="dxa"/>
            <w:vMerge w:val="restart"/>
            <w:tcBorders>
              <w:top w:val="single" w:color="auto" w:sz="4" w:space="0"/>
              <w:left w:val="single" w:color="auto" w:sz="4" w:space="0"/>
            </w:tcBorders>
            <w:vAlign w:val="center"/>
          </w:tcPr>
          <w:p>
            <w:pPr>
              <w:spacing w:line="240" w:lineRule="auto"/>
              <w:jc w:val="left"/>
              <w:rPr>
                <w:rFonts w:ascii="Times New Roman" w:hAnsi="Times New Roman" w:cs="Times New Roman"/>
                <w:sz w:val="21"/>
                <w:szCs w:val="21"/>
              </w:rPr>
            </w:pPr>
            <w:r>
              <w:rPr>
                <w:rFonts w:ascii="Times New Roman" w:hAnsi="Times New Roman" w:cs="Times New Roman"/>
                <w:sz w:val="21"/>
                <w:szCs w:val="21"/>
              </w:rPr>
              <w:t>商务部分</w:t>
            </w:r>
            <w:r>
              <w:rPr>
                <w:rFonts w:hint="default" w:ascii="Times New Roman" w:hAnsi="Times New Roman" w:cs="Times New Roman"/>
                <w:sz w:val="21"/>
                <w:szCs w:val="21"/>
                <w:lang w:eastAsia="zh-CN"/>
              </w:rPr>
              <w:t>（</w:t>
            </w:r>
            <w:r>
              <w:rPr>
                <w:rFonts w:hint="eastAsia" w:ascii="Times New Roman" w:hAnsi="Times New Roman" w:cs="Times New Roman"/>
                <w:sz w:val="21"/>
                <w:szCs w:val="21"/>
                <w:lang w:val="en-US" w:eastAsia="zh-CN"/>
              </w:rPr>
              <w:t>25</w:t>
            </w:r>
            <w:r>
              <w:rPr>
                <w:rFonts w:hint="default" w:ascii="Times New Roman" w:hAnsi="Times New Roman" w:cs="Times New Roman"/>
                <w:sz w:val="21"/>
                <w:szCs w:val="21"/>
                <w:lang w:val="en-US" w:eastAsia="zh-CN"/>
              </w:rPr>
              <w:t>分</w:t>
            </w:r>
            <w:r>
              <w:rPr>
                <w:rFonts w:hint="default" w:ascii="Times New Roman" w:hAnsi="Times New Roman" w:cs="Times New Roman"/>
                <w:sz w:val="21"/>
                <w:szCs w:val="21"/>
                <w:lang w:eastAsia="zh-CN"/>
              </w:rPr>
              <w:t>）</w:t>
            </w:r>
          </w:p>
        </w:tc>
        <w:tc>
          <w:tcPr>
            <w:tcW w:w="962" w:type="dxa"/>
            <w:tcBorders>
              <w:top w:val="single" w:color="auto" w:sz="4" w:space="0"/>
            </w:tcBorders>
            <w:vAlign w:val="center"/>
          </w:tcPr>
          <w:p>
            <w:pPr>
              <w:pStyle w:val="24"/>
              <w:spacing w:line="240" w:lineRule="auto"/>
              <w:jc w:val="left"/>
              <w:rPr>
                <w:rFonts w:hint="default" w:ascii="Times New Roman" w:hAnsi="Times New Roman" w:cs="Times New Roman"/>
                <w:sz w:val="21"/>
                <w:szCs w:val="21"/>
              </w:rPr>
            </w:pPr>
            <w:r>
              <w:rPr>
                <w:rFonts w:hint="default" w:ascii="Times New Roman" w:hAnsi="Times New Roman" w:cs="Times New Roman"/>
                <w:sz w:val="21"/>
                <w:szCs w:val="21"/>
              </w:rPr>
              <w:t>同类项目业绩(</w:t>
            </w:r>
            <w:r>
              <w:rPr>
                <w:rFonts w:hint="eastAsia" w:ascii="Times New Roman" w:hAnsi="Times New Roman" w:cs="Times New Roman"/>
                <w:sz w:val="21"/>
                <w:szCs w:val="21"/>
                <w:lang w:val="en-US" w:eastAsia="zh-CN"/>
              </w:rPr>
              <w:t>20</w:t>
            </w:r>
            <w:r>
              <w:rPr>
                <w:rFonts w:hint="default" w:ascii="Times New Roman" w:hAnsi="Times New Roman" w:cs="Times New Roman"/>
                <w:sz w:val="21"/>
                <w:szCs w:val="21"/>
              </w:rPr>
              <w:t>分)</w:t>
            </w:r>
          </w:p>
        </w:tc>
        <w:tc>
          <w:tcPr>
            <w:tcW w:w="7202" w:type="dxa"/>
            <w:tcBorders>
              <w:top w:val="single" w:color="auto" w:sz="4" w:space="0"/>
              <w:right w:val="single" w:color="auto" w:sz="4" w:space="0"/>
            </w:tcBorders>
            <w:vAlign w:val="center"/>
          </w:tcPr>
          <w:p>
            <w:pPr>
              <w:pStyle w:val="24"/>
              <w:spacing w:line="240" w:lineRule="auto"/>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rPr>
              <w:t>根据投</w:t>
            </w:r>
            <w:r>
              <w:rPr>
                <w:rFonts w:hint="default" w:ascii="Times New Roman" w:hAnsi="Times New Roman" w:eastAsia="宋体" w:cs="Times New Roman"/>
                <w:color w:val="auto"/>
                <w:sz w:val="21"/>
                <w:szCs w:val="21"/>
                <w:highlight w:val="none"/>
                <w:lang w:val="en-US" w:eastAsia="zh-CN" w:bidi="ar-SA"/>
              </w:rPr>
              <w:t>标人自2022年1月1日以来（以合同生效日期为准）</w:t>
            </w:r>
            <w:r>
              <w:rPr>
                <w:rFonts w:hint="default" w:ascii="Times New Roman" w:hAnsi="Times New Roman" w:cs="Times New Roman"/>
                <w:sz w:val="21"/>
                <w:szCs w:val="21"/>
              </w:rPr>
              <w:t>承接过的</w:t>
            </w:r>
            <w:r>
              <w:rPr>
                <w:rFonts w:hint="default" w:ascii="Times New Roman" w:hAnsi="Times New Roman" w:eastAsia="宋体" w:cs="Times New Roman"/>
                <w:color w:val="auto"/>
                <w:sz w:val="21"/>
                <w:szCs w:val="21"/>
                <w:highlight w:val="none"/>
                <w:lang w:val="en-US" w:eastAsia="zh-CN" w:bidi="ar-SA"/>
              </w:rPr>
              <w:t>同类项目</w:t>
            </w:r>
            <w:r>
              <w:rPr>
                <w:rFonts w:hint="default" w:ascii="Times New Roman" w:hAnsi="Times New Roman" w:cs="Times New Roman"/>
                <w:sz w:val="21"/>
                <w:szCs w:val="21"/>
              </w:rPr>
              <w:t>（同类业绩指合同内容中包含</w:t>
            </w:r>
            <w:r>
              <w:rPr>
                <w:rFonts w:hint="eastAsia" w:ascii="Times New Roman" w:hAnsi="Times New Roman" w:cs="Times New Roman"/>
                <w:sz w:val="21"/>
                <w:szCs w:val="21"/>
                <w:lang w:val="en-US" w:eastAsia="zh-CN"/>
              </w:rPr>
              <w:t>二甲及以上医院</w:t>
            </w:r>
            <w:r>
              <w:rPr>
                <w:rFonts w:hint="default" w:ascii="Times New Roman" w:hAnsi="Times New Roman" w:cs="Times New Roman"/>
                <w:sz w:val="21"/>
                <w:szCs w:val="21"/>
              </w:rPr>
              <w:t>第三方招聘服务相关的内容）业绩合同的情况进行评分，</w:t>
            </w:r>
            <w:r>
              <w:rPr>
                <w:rFonts w:hint="default" w:ascii="Times New Roman" w:hAnsi="Times New Roman" w:cs="Times New Roman"/>
                <w:sz w:val="21"/>
                <w:szCs w:val="21"/>
                <w:lang w:val="en-US" w:eastAsia="zh-CN"/>
              </w:rPr>
              <w:t>每个业绩得</w:t>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lang w:val="en-US" w:eastAsia="zh-CN"/>
              </w:rPr>
              <w:t>分，本项满分得</w:t>
            </w:r>
            <w:r>
              <w:rPr>
                <w:rFonts w:hint="eastAsia" w:ascii="Times New Roman" w:hAnsi="Times New Roman" w:cs="Times New Roman"/>
                <w:sz w:val="21"/>
                <w:szCs w:val="21"/>
                <w:lang w:val="en-US" w:eastAsia="zh-CN"/>
              </w:rPr>
              <w:t>20</w:t>
            </w:r>
            <w:r>
              <w:rPr>
                <w:rFonts w:hint="default" w:ascii="Times New Roman" w:hAnsi="Times New Roman" w:cs="Times New Roman"/>
                <w:sz w:val="21"/>
                <w:szCs w:val="21"/>
                <w:lang w:val="en-US" w:eastAsia="zh-CN"/>
              </w:rPr>
              <w:t>分。</w:t>
            </w:r>
          </w:p>
          <w:p>
            <w:pPr>
              <w:pStyle w:val="24"/>
              <w:spacing w:line="240" w:lineRule="auto"/>
              <w:jc w:val="left"/>
              <w:rPr>
                <w:rFonts w:hint="default" w:ascii="Times New Roman" w:hAnsi="Times New Roman" w:cs="Times New Roman"/>
                <w:sz w:val="21"/>
                <w:szCs w:val="21"/>
              </w:rPr>
            </w:pPr>
            <w:r>
              <w:rPr>
                <w:rFonts w:hint="eastAsia" w:ascii="Times New Roman" w:hAnsi="Times New Roman" w:eastAsia="宋体" w:cs="Times New Roman"/>
                <w:b/>
                <w:bCs/>
                <w:color w:val="auto"/>
                <w:sz w:val="21"/>
                <w:szCs w:val="21"/>
                <w:highlight w:val="none"/>
                <w:lang w:val="en-US" w:eastAsia="zh-CN" w:bidi="ar-SA"/>
              </w:rPr>
              <w:t>说明：</w:t>
            </w:r>
            <w:r>
              <w:rPr>
                <w:rFonts w:hint="default" w:ascii="Times New Roman" w:hAnsi="Times New Roman" w:cs="Times New Roman"/>
                <w:sz w:val="21"/>
                <w:szCs w:val="21"/>
              </w:rPr>
              <w:t>投标文件中须提供项目合同全件复印件，或者合同关键页复印件（合同关键页应当体现合同当事人名称（甲乙双方名称，其中乙方名称应当与投标人一致）、合同内容、合同签章处及合同签订时间等关键信息），以上复印件均需加盖投标人公章，未提供或提供的资料不符合要求的则不得分</w:t>
            </w:r>
            <w:r>
              <w:rPr>
                <w:rFonts w:hint="default" w:ascii="Times New Roman" w:hAnsi="Times New Roman" w:eastAsia="宋体" w:cs="Times New Roman"/>
                <w:color w:val="auto"/>
                <w:sz w:val="21"/>
                <w:szCs w:val="21"/>
                <w:highlight w:val="none"/>
                <w:lang w:val="en-US" w:eastAsia="zh-CN" w:bidi="ar-SA"/>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92" w:hRule="atLeast"/>
        </w:trPr>
        <w:tc>
          <w:tcPr>
            <w:tcW w:w="1277" w:type="dxa"/>
            <w:vMerge w:val="continue"/>
            <w:tcBorders>
              <w:left w:val="single" w:color="auto" w:sz="4" w:space="0"/>
              <w:bottom w:val="single" w:color="auto" w:sz="4" w:space="0"/>
            </w:tcBorders>
            <w:vAlign w:val="center"/>
          </w:tcPr>
          <w:p>
            <w:pPr>
              <w:spacing w:line="240" w:lineRule="auto"/>
              <w:jc w:val="left"/>
              <w:rPr>
                <w:rFonts w:ascii="Times New Roman" w:hAnsi="Times New Roman" w:cs="Times New Roman"/>
                <w:sz w:val="21"/>
                <w:szCs w:val="21"/>
              </w:rPr>
            </w:pPr>
          </w:p>
        </w:tc>
        <w:tc>
          <w:tcPr>
            <w:tcW w:w="962" w:type="dxa"/>
            <w:tcBorders>
              <w:top w:val="single" w:color="auto" w:sz="4" w:space="0"/>
              <w:bottom w:val="single" w:color="auto" w:sz="4" w:space="0"/>
            </w:tcBorders>
            <w:vAlign w:val="center"/>
          </w:tcPr>
          <w:p>
            <w:pPr>
              <w:pStyle w:val="24"/>
              <w:spacing w:line="240" w:lineRule="auto"/>
              <w:jc w:val="left"/>
              <w:rPr>
                <w:rFonts w:hint="default" w:ascii="Times New Roman" w:hAnsi="Times New Roman" w:cs="Times New Roman"/>
                <w:sz w:val="21"/>
                <w:szCs w:val="21"/>
              </w:rPr>
            </w:pPr>
            <w:r>
              <w:rPr>
                <w:rFonts w:hint="default" w:ascii="Times New Roman" w:hAnsi="Times New Roman" w:cs="Times New Roman"/>
                <w:sz w:val="21"/>
                <w:szCs w:val="21"/>
              </w:rPr>
              <w:t>诚信记录(5分)</w:t>
            </w:r>
          </w:p>
        </w:tc>
        <w:tc>
          <w:tcPr>
            <w:tcW w:w="7202" w:type="dxa"/>
            <w:tcBorders>
              <w:top w:val="single" w:color="auto" w:sz="4" w:space="0"/>
              <w:right w:val="single" w:color="auto" w:sz="4" w:space="0"/>
            </w:tcBorders>
            <w:vAlign w:val="center"/>
          </w:tcPr>
          <w:p>
            <w:pPr>
              <w:pStyle w:val="24"/>
              <w:spacing w:line="240" w:lineRule="auto"/>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根据《关于加强珠海市政府采购中标人诚信管理有关事项的通知》（珠财采通（2022）20号）要求，对中标人的诚信状况（普通失信行为）进行评分，具体计算公式如下：诚信记录评审得分=中标人上一年度诚信记录得分×5%。</w:t>
            </w:r>
          </w:p>
          <w:p>
            <w:pPr>
              <w:pStyle w:val="24"/>
              <w:spacing w:line="240" w:lineRule="auto"/>
              <w:jc w:val="left"/>
              <w:rPr>
                <w:rFonts w:hint="eastAsia" w:ascii="Times New Roman" w:hAnsi="Times New Roman" w:cs="Times New Roman"/>
                <w:sz w:val="21"/>
                <w:szCs w:val="21"/>
                <w:lang w:val="en-US" w:eastAsia="zh-CN"/>
              </w:rPr>
            </w:pPr>
            <w:r>
              <w:rPr>
                <w:rFonts w:hint="eastAsia" w:ascii="Times New Roman" w:hAnsi="Times New Roman" w:cs="Times New Roman"/>
                <w:b/>
                <w:bCs/>
                <w:sz w:val="21"/>
                <w:szCs w:val="21"/>
                <w:lang w:val="en-US" w:eastAsia="zh-CN"/>
              </w:rPr>
              <w:t>说明：</w:t>
            </w:r>
            <w:r>
              <w:rPr>
                <w:rFonts w:hint="eastAsia" w:ascii="Times New Roman" w:hAnsi="Times New Roman" w:cs="Times New Roman"/>
                <w:sz w:val="21"/>
                <w:szCs w:val="21"/>
                <w:lang w:val="en-US" w:eastAsia="zh-CN"/>
              </w:rPr>
              <w:t>1.采购代理机构于投标截止时间后，在评审活动开始前，通过广东政府采购网“其他监管检查公告”栏和珠海市财政局网站“信用财政”栏查询投标（响应）中标人的诚信状况（即中标人上一年度的诚信记录得分），提供给评标委员会，由评标委员会根据上述公式进行评审打分。2.首次参加珠海市政府采购活动的中标人诚信管理基础得分为100分，在广东政府采购网“其他监管检查公告”栏和珠海市财政局网站“信用财政”栏查询不到相关中标人扣分记录的，视为该中标人上一年度诚信记录得分为100分。</w:t>
            </w:r>
          </w:p>
        </w:tc>
      </w:tr>
    </w:tbl>
    <w:p>
      <w:pPr>
        <w:spacing w:after="0"/>
        <w:rPr>
          <w:rFonts w:ascii="Times New Roman" w:hAnsi="Times New Roman" w:eastAsia="宋体" w:cs="Times New Roman"/>
          <w:color w:val="auto"/>
          <w:sz w:val="21"/>
          <w:highlight w:val="none"/>
          <w:lang w:val="en-US" w:eastAsia="zh-CN" w:bidi="ar-SA"/>
        </w:rPr>
      </w:pPr>
      <w:r>
        <w:rPr>
          <w:rFonts w:hint="eastAsia" w:ascii="Times New Roman" w:hAnsi="Times New Roman" w:cs="Times New Roman"/>
          <w:color w:val="auto"/>
          <w:sz w:val="21"/>
          <w:szCs w:val="20"/>
          <w:highlight w:val="none"/>
          <w:lang w:val="en-US" w:bidi="ar-SA"/>
        </w:rPr>
        <w:t>备注：评委对各投标文件进行评比后，根据评分方法进行相应地评分。</w:t>
      </w:r>
    </w:p>
    <w:p>
      <w:pPr>
        <w:pStyle w:val="2"/>
        <w:rPr>
          <w:rFonts w:hint="eastAsia" w:ascii="Times New Roman" w:hAnsi="Times New Roman" w:cs="Times New Roman"/>
          <w:color w:val="auto"/>
          <w:sz w:val="21"/>
          <w:szCs w:val="20"/>
          <w:highlight w:val="none"/>
          <w:lang w:val="en-US" w:bidi="ar-SA"/>
        </w:rPr>
      </w:pPr>
    </w:p>
    <w:p>
      <w:pPr>
        <w:pStyle w:val="2"/>
        <w:rPr>
          <w:rFonts w:hint="eastAsia" w:ascii="Times New Roman" w:hAnsi="Times New Roman" w:cs="Times New Roman"/>
          <w:color w:val="auto"/>
          <w:sz w:val="21"/>
          <w:szCs w:val="20"/>
          <w:highlight w:val="none"/>
          <w:lang w:val="en-US" w:bidi="ar-SA"/>
        </w:rPr>
      </w:pPr>
      <w:r>
        <w:rPr>
          <w:rFonts w:hint="eastAsia" w:ascii="Times New Roman" w:hAnsi="Times New Roman" w:cs="Times New Roman"/>
          <w:color w:val="auto"/>
          <w:sz w:val="21"/>
          <w:szCs w:val="20"/>
          <w:highlight w:val="none"/>
          <w:lang w:val="en-US" w:bidi="ar-SA"/>
        </w:rPr>
        <w:t>评委签名：</w:t>
      </w:r>
      <w:r>
        <w:rPr>
          <w:rFonts w:hint="eastAsia" w:ascii="Times New Roman" w:hAnsi="Times New Roman" w:cs="Times New Roman"/>
          <w:color w:val="auto"/>
          <w:sz w:val="21"/>
          <w:szCs w:val="20"/>
          <w:highlight w:val="none"/>
          <w:lang w:val="en-US" w:eastAsia="zh-CN" w:bidi="ar-SA"/>
        </w:rPr>
        <w:t xml:space="preserve">                  </w:t>
      </w:r>
      <w:r>
        <w:rPr>
          <w:rFonts w:hint="eastAsia" w:ascii="Times New Roman" w:hAnsi="Times New Roman" w:cs="Times New Roman"/>
          <w:color w:val="auto"/>
          <w:sz w:val="21"/>
          <w:szCs w:val="20"/>
          <w:highlight w:val="none"/>
          <w:lang w:val="en-US" w:bidi="ar-SA"/>
        </w:rPr>
        <w:t>日期：</w:t>
      </w:r>
    </w:p>
    <w:p>
      <w:pPr>
        <w:pStyle w:val="2"/>
        <w:rPr>
          <w:rFonts w:hint="eastAsia" w:ascii="Times New Roman" w:hAnsi="Times New Roman" w:cs="Times New Roman"/>
          <w:color w:val="auto"/>
          <w:sz w:val="21"/>
          <w:szCs w:val="20"/>
          <w:highlight w:val="none"/>
          <w:lang w:val="en-US" w:bidi="ar-SA"/>
        </w:rPr>
      </w:pPr>
    </w:p>
    <w:p>
      <w:pPr>
        <w:pStyle w:val="2"/>
        <w:rPr>
          <w:rFonts w:hint="eastAsia" w:ascii="Times New Roman" w:hAnsi="Times New Roman" w:cs="Times New Roman"/>
          <w:color w:val="auto"/>
          <w:sz w:val="21"/>
          <w:szCs w:val="20"/>
          <w:highlight w:val="none"/>
          <w:lang w:val="en-US" w:bidi="ar-SA"/>
        </w:rPr>
        <w:sectPr>
          <w:pgSz w:w="11906" w:h="16838"/>
          <w:pgMar w:top="1434" w:right="1474" w:bottom="1434" w:left="1474" w:header="851" w:footer="992" w:gutter="0"/>
          <w:pgNumType w:fmt="decimal"/>
          <w:cols w:space="425" w:num="1"/>
          <w:docGrid w:type="lines" w:linePitch="312" w:charSpace="0"/>
        </w:sectPr>
      </w:pPr>
    </w:p>
    <w:p>
      <w:pPr>
        <w:widowControl/>
        <w:autoSpaceDE/>
        <w:autoSpaceDN/>
        <w:spacing w:before="0" w:after="0" w:line="240" w:lineRule="auto"/>
        <w:ind w:left="0" w:right="0"/>
        <w:jc w:val="left"/>
        <w:rPr>
          <w:rFonts w:ascii="宋体" w:hAnsi="宋体" w:cs="宋体"/>
          <w:b/>
          <w:bCs/>
          <w:color w:val="auto"/>
          <w:sz w:val="24"/>
          <w:szCs w:val="24"/>
          <w:highlight w:val="none"/>
          <w:lang w:val="en-US" w:bidi="ar-SA"/>
        </w:rPr>
      </w:pPr>
      <w:r>
        <w:rPr>
          <w:rFonts w:hint="eastAsia" w:ascii="宋体" w:hAnsi="宋体" w:cs="宋体"/>
          <w:b/>
          <w:bCs/>
          <w:color w:val="auto"/>
          <w:sz w:val="24"/>
          <w:szCs w:val="24"/>
          <w:highlight w:val="none"/>
          <w:lang w:val="en-US" w:bidi="ar-SA"/>
        </w:rPr>
        <w:t>附件</w:t>
      </w:r>
      <w:r>
        <w:rPr>
          <w:rFonts w:ascii="宋体" w:hAnsi="宋体" w:cs="宋体"/>
          <w:b/>
          <w:bCs/>
          <w:color w:val="auto"/>
          <w:sz w:val="24"/>
          <w:szCs w:val="24"/>
          <w:highlight w:val="none"/>
          <w:lang w:val="en-US" w:bidi="ar-SA"/>
        </w:rPr>
        <w:t>3</w:t>
      </w:r>
      <w:r>
        <w:rPr>
          <w:rFonts w:hint="eastAsia" w:ascii="宋体" w:hAnsi="宋体" w:cs="宋体"/>
          <w:b/>
          <w:bCs/>
          <w:color w:val="auto"/>
          <w:sz w:val="24"/>
          <w:szCs w:val="24"/>
          <w:highlight w:val="none"/>
          <w:lang w:val="en-US" w:bidi="ar-SA"/>
        </w:rPr>
        <w:t>：投标报价评分细则（满分</w:t>
      </w:r>
      <w:r>
        <w:rPr>
          <w:rFonts w:hint="eastAsia" w:cs="宋体"/>
          <w:b/>
          <w:bCs/>
          <w:color w:val="auto"/>
          <w:sz w:val="24"/>
          <w:szCs w:val="24"/>
          <w:highlight w:val="none"/>
          <w:lang w:val="en-US" w:eastAsia="zh-CN" w:bidi="ar-SA"/>
        </w:rPr>
        <w:t>3</w:t>
      </w:r>
      <w:r>
        <w:rPr>
          <w:rFonts w:hint="eastAsia" w:ascii="宋体" w:hAnsi="宋体" w:cs="宋体"/>
          <w:b/>
          <w:bCs/>
          <w:color w:val="auto"/>
          <w:sz w:val="24"/>
          <w:szCs w:val="24"/>
          <w:highlight w:val="none"/>
          <w:lang w:val="en-US" w:bidi="ar-SA"/>
        </w:rPr>
        <w:t>0分）</w:t>
      </w:r>
    </w:p>
    <w:tbl>
      <w:tblPr>
        <w:tblStyle w:val="16"/>
        <w:tblW w:w="93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1067"/>
        <w:gridCol w:w="8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4" w:hRule="atLeast"/>
          <w:jc w:val="center"/>
        </w:trPr>
        <w:tc>
          <w:tcPr>
            <w:tcW w:w="1067" w:type="dxa"/>
            <w:tcMar>
              <w:top w:w="0" w:type="dxa"/>
              <w:left w:w="108" w:type="dxa"/>
              <w:bottom w:w="0" w:type="dxa"/>
              <w:right w:w="108" w:type="dxa"/>
            </w:tcMar>
            <w:vAlign w:val="center"/>
          </w:tcPr>
          <w:p>
            <w:pPr>
              <w:widowControl/>
              <w:autoSpaceDE/>
              <w:autoSpaceDN/>
              <w:spacing w:before="0" w:after="0" w:line="240" w:lineRule="auto"/>
              <w:ind w:left="0" w:right="0"/>
              <w:jc w:val="center"/>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价格部分</w:t>
            </w:r>
          </w:p>
          <w:p>
            <w:pPr>
              <w:widowControl/>
              <w:autoSpaceDE/>
              <w:autoSpaceDN/>
              <w:spacing w:before="0" w:after="0" w:line="240" w:lineRule="auto"/>
              <w:ind w:left="0" w:right="0"/>
              <w:jc w:val="center"/>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w:t>
            </w:r>
            <w:r>
              <w:rPr>
                <w:rFonts w:hint="eastAsia" w:cs="宋体"/>
                <w:color w:val="auto"/>
                <w:sz w:val="21"/>
                <w:szCs w:val="21"/>
                <w:highlight w:val="none"/>
                <w:lang w:val="en-US" w:eastAsia="zh-CN" w:bidi="ar-SA"/>
              </w:rPr>
              <w:t>3</w:t>
            </w:r>
            <w:r>
              <w:rPr>
                <w:rFonts w:hint="eastAsia" w:ascii="宋体" w:hAnsi="宋体" w:cs="宋体"/>
                <w:color w:val="auto"/>
                <w:sz w:val="21"/>
                <w:szCs w:val="21"/>
                <w:highlight w:val="none"/>
                <w:lang w:val="en-US" w:bidi="ar-SA"/>
              </w:rPr>
              <w:t>0分）</w:t>
            </w:r>
          </w:p>
        </w:tc>
        <w:tc>
          <w:tcPr>
            <w:tcW w:w="8268" w:type="dxa"/>
            <w:tcMar>
              <w:top w:w="0" w:type="dxa"/>
              <w:left w:w="108" w:type="dxa"/>
              <w:bottom w:w="0" w:type="dxa"/>
              <w:right w:w="108" w:type="dxa"/>
            </w:tcMar>
            <w:vAlign w:val="center"/>
          </w:tcPr>
          <w:p>
            <w:pPr>
              <w:widowControl/>
              <w:autoSpaceDE/>
              <w:autoSpaceDN/>
              <w:spacing w:before="0" w:after="0" w:line="240" w:lineRule="auto"/>
              <w:ind w:left="0" w:right="0"/>
              <w:jc w:val="left"/>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投标报价得分采用低价优先法计算，即满足采购文件要求且投标价格最低的投标报价为评标基准价，其投标报价得分为满分。其他投标人的投标报价得分统一按照下列公式计算：投标报价得分=（评标基准价/投标报价）×报价权重×100。</w:t>
            </w:r>
          </w:p>
          <w:p>
            <w:pPr>
              <w:widowControl/>
              <w:autoSpaceDE/>
              <w:autoSpaceDN/>
              <w:spacing w:before="0" w:after="0" w:line="240" w:lineRule="auto"/>
              <w:ind w:left="0" w:right="0"/>
              <w:jc w:val="left"/>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备注：投标报价得分四舍五入后，小数点后保留两位有效数。</w:t>
            </w:r>
          </w:p>
        </w:tc>
      </w:tr>
    </w:tbl>
    <w:p>
      <w:pPr>
        <w:pStyle w:val="2"/>
        <w:rPr>
          <w:rFonts w:hint="eastAsia" w:ascii="Times New Roman" w:hAnsi="Times New Roman" w:cs="Times New Roman"/>
          <w:color w:val="auto"/>
          <w:sz w:val="21"/>
          <w:szCs w:val="20"/>
          <w:highlight w:val="none"/>
          <w:lang w:val="en-US" w:bidi="ar-SA"/>
        </w:rPr>
      </w:pPr>
    </w:p>
    <w:p>
      <w:pPr>
        <w:pStyle w:val="2"/>
        <w:rPr>
          <w:rFonts w:hint="eastAsia" w:ascii="Times New Roman" w:hAnsi="Times New Roman" w:cs="Times New Roman"/>
          <w:color w:val="auto"/>
          <w:sz w:val="21"/>
          <w:szCs w:val="20"/>
          <w:highlight w:val="none"/>
          <w:lang w:val="en-US" w:bidi="ar-SA"/>
        </w:rPr>
      </w:pPr>
    </w:p>
    <w:p>
      <w:pPr>
        <w:pStyle w:val="2"/>
        <w:rPr>
          <w:rFonts w:hint="eastAsia" w:ascii="Times New Roman" w:hAnsi="Times New Roman" w:cs="Times New Roman"/>
          <w:color w:val="auto"/>
          <w:sz w:val="21"/>
          <w:szCs w:val="20"/>
          <w:highlight w:val="none"/>
          <w:lang w:val="en-US" w:bidi="ar-SA"/>
        </w:rPr>
      </w:pPr>
    </w:p>
    <w:p>
      <w:pPr>
        <w:pStyle w:val="2"/>
        <w:rPr>
          <w:rFonts w:hint="eastAsia" w:ascii="Times New Roman" w:hAnsi="Times New Roman" w:cs="Times New Roman"/>
          <w:color w:val="auto"/>
          <w:sz w:val="21"/>
          <w:szCs w:val="20"/>
          <w:highlight w:val="none"/>
          <w:lang w:val="en-US" w:bidi="ar-SA"/>
        </w:rPr>
        <w:sectPr>
          <w:pgSz w:w="11906" w:h="16838"/>
          <w:pgMar w:top="1434" w:right="1474" w:bottom="1434" w:left="1474" w:header="851" w:footer="992" w:gutter="0"/>
          <w:pgNumType w:fmt="decimal"/>
          <w:cols w:space="425" w:num="1"/>
          <w:docGrid w:type="lines" w:linePitch="312" w:charSpace="0"/>
        </w:sectPr>
      </w:pPr>
    </w:p>
    <w:p>
      <w:pPr>
        <w:pStyle w:val="9"/>
        <w:rPr>
          <w:rFonts w:hint="eastAsia"/>
          <w:lang w:val="en-US"/>
        </w:rPr>
      </w:pPr>
    </w:p>
    <w:p>
      <w:pPr>
        <w:spacing w:line="360" w:lineRule="auto"/>
        <w:jc w:val="center"/>
        <w:rPr>
          <w:rFonts w:hint="eastAsia" w:ascii="宋体" w:hAnsi="宋体" w:eastAsia="宋体" w:cs="宋体"/>
          <w:b/>
          <w:kern w:val="28"/>
          <w:sz w:val="36"/>
          <w:szCs w:val="36"/>
          <w:lang w:val="en-US" w:eastAsia="zh-CN"/>
        </w:rPr>
      </w:pPr>
      <w:r>
        <w:rPr>
          <w:rFonts w:hint="eastAsia" w:ascii="宋体" w:hAnsi="宋体" w:eastAsia="宋体" w:cs="宋体"/>
          <w:b/>
          <w:kern w:val="28"/>
          <w:sz w:val="36"/>
          <w:szCs w:val="36"/>
          <w:lang w:val="en-US" w:eastAsia="zh-CN"/>
        </w:rPr>
        <w:t>第</w:t>
      </w:r>
      <w:r>
        <w:rPr>
          <w:rFonts w:hint="eastAsia" w:cs="宋体"/>
          <w:b/>
          <w:kern w:val="28"/>
          <w:sz w:val="36"/>
          <w:szCs w:val="36"/>
          <w:lang w:val="en-US" w:eastAsia="zh-CN"/>
        </w:rPr>
        <w:t>五</w:t>
      </w:r>
      <w:r>
        <w:rPr>
          <w:rFonts w:hint="eastAsia" w:ascii="宋体" w:hAnsi="宋体" w:eastAsia="宋体" w:cs="宋体"/>
          <w:b/>
          <w:kern w:val="28"/>
          <w:sz w:val="36"/>
          <w:szCs w:val="36"/>
          <w:lang w:val="en-US" w:eastAsia="zh-CN"/>
        </w:rPr>
        <w:t>部分  投标文件格式（参考）</w:t>
      </w:r>
    </w:p>
    <w:p>
      <w:pPr>
        <w:pStyle w:val="10"/>
        <w:spacing w:line="360" w:lineRule="auto"/>
        <w:ind w:firstLine="1079" w:firstLineChars="448"/>
        <w:jc w:val="center"/>
        <w:rPr>
          <w:rFonts w:hint="eastAsia" w:hAnsi="宋体" w:cs="宋体"/>
          <w:b/>
          <w:kern w:val="2"/>
          <w:sz w:val="24"/>
          <w:szCs w:val="28"/>
        </w:rPr>
      </w:pPr>
    </w:p>
    <w:p>
      <w:pPr>
        <w:pStyle w:val="10"/>
        <w:tabs>
          <w:tab w:val="left" w:pos="1260"/>
        </w:tabs>
        <w:jc w:val="center"/>
        <w:rPr>
          <w:rFonts w:hint="eastAsia" w:hAnsi="宋体" w:cs="宋体"/>
          <w:b/>
          <w:spacing w:val="100"/>
          <w:w w:val="110"/>
          <w:sz w:val="40"/>
          <w:szCs w:val="44"/>
          <w:u w:val="single"/>
        </w:rPr>
      </w:pPr>
    </w:p>
    <w:p>
      <w:pPr>
        <w:pStyle w:val="10"/>
        <w:tabs>
          <w:tab w:val="left" w:pos="1260"/>
        </w:tabs>
        <w:jc w:val="center"/>
        <w:rPr>
          <w:rFonts w:hint="eastAsia" w:hAnsi="宋体" w:cs="宋体"/>
          <w:b/>
          <w:spacing w:val="100"/>
          <w:w w:val="110"/>
          <w:sz w:val="40"/>
          <w:szCs w:val="44"/>
        </w:rPr>
      </w:pPr>
      <w:bookmarkStart w:id="5" w:name="_Toc23416"/>
      <w:r>
        <w:rPr>
          <w:rFonts w:hint="eastAsia" w:hAnsi="宋体" w:cs="宋体"/>
          <w:b/>
          <w:spacing w:val="100"/>
          <w:w w:val="110"/>
          <w:sz w:val="40"/>
          <w:szCs w:val="44"/>
          <w:u w:val="single"/>
        </w:rPr>
        <w:t>（项目名称）</w:t>
      </w:r>
      <w:bookmarkEnd w:id="5"/>
    </w:p>
    <w:p>
      <w:pPr>
        <w:pStyle w:val="10"/>
        <w:jc w:val="center"/>
        <w:rPr>
          <w:rFonts w:hint="eastAsia" w:hAnsi="宋体" w:cs="宋体"/>
          <w:b/>
          <w:sz w:val="40"/>
          <w:szCs w:val="44"/>
        </w:rPr>
      </w:pPr>
      <w:bookmarkStart w:id="6" w:name="_Toc26042"/>
      <w:bookmarkStart w:id="7" w:name="_Toc11453"/>
      <w:r>
        <w:rPr>
          <w:rFonts w:hint="eastAsia" w:hAnsi="宋体" w:cs="宋体"/>
          <w:b/>
          <w:sz w:val="24"/>
          <w:szCs w:val="28"/>
        </w:rPr>
        <w:t>（</w:t>
      </w:r>
      <w:r>
        <w:rPr>
          <w:rFonts w:hint="eastAsia" w:hAnsi="宋体" w:cs="宋体"/>
          <w:b/>
          <w:kern w:val="2"/>
          <w:sz w:val="24"/>
          <w:szCs w:val="28"/>
        </w:rPr>
        <w:t>封面仅供参考</w:t>
      </w:r>
      <w:r>
        <w:rPr>
          <w:rFonts w:hint="eastAsia" w:hAnsi="宋体" w:cs="宋体"/>
          <w:b/>
          <w:sz w:val="24"/>
          <w:szCs w:val="28"/>
        </w:rPr>
        <w:t>）</w:t>
      </w:r>
      <w:bookmarkEnd w:id="6"/>
      <w:bookmarkEnd w:id="7"/>
    </w:p>
    <w:p>
      <w:pPr>
        <w:pStyle w:val="10"/>
        <w:jc w:val="center"/>
        <w:rPr>
          <w:rFonts w:hint="eastAsia" w:hAnsi="宋体" w:cs="宋体"/>
          <w:b/>
          <w:sz w:val="40"/>
          <w:szCs w:val="44"/>
        </w:rPr>
      </w:pPr>
    </w:p>
    <w:p>
      <w:pPr>
        <w:pStyle w:val="10"/>
        <w:jc w:val="center"/>
        <w:rPr>
          <w:rFonts w:hint="eastAsia" w:hAnsi="宋体" w:cs="宋体"/>
          <w:b/>
          <w:sz w:val="40"/>
          <w:szCs w:val="44"/>
        </w:rPr>
      </w:pPr>
    </w:p>
    <w:p>
      <w:pPr>
        <w:pStyle w:val="10"/>
        <w:tabs>
          <w:tab w:val="left" w:pos="1260"/>
        </w:tabs>
        <w:jc w:val="center"/>
        <w:rPr>
          <w:rFonts w:hint="eastAsia" w:hAnsi="宋体" w:cs="宋体"/>
          <w:b/>
          <w:spacing w:val="100"/>
          <w:w w:val="110"/>
          <w:sz w:val="40"/>
          <w:szCs w:val="44"/>
        </w:rPr>
      </w:pPr>
      <w:bookmarkStart w:id="8" w:name="_Toc16706"/>
      <w:r>
        <w:rPr>
          <w:rFonts w:hint="eastAsia" w:hAnsi="宋体" w:cs="宋体"/>
          <w:b/>
          <w:spacing w:val="100"/>
          <w:w w:val="110"/>
          <w:sz w:val="40"/>
          <w:szCs w:val="44"/>
        </w:rPr>
        <w:t>投标文件</w:t>
      </w:r>
      <w:bookmarkEnd w:id="8"/>
    </w:p>
    <w:p>
      <w:pPr>
        <w:pStyle w:val="10"/>
        <w:jc w:val="center"/>
        <w:rPr>
          <w:rFonts w:hint="eastAsia" w:hAnsi="宋体" w:cs="宋体"/>
          <w:b/>
          <w:sz w:val="40"/>
          <w:szCs w:val="44"/>
        </w:rPr>
      </w:pPr>
      <w:bookmarkStart w:id="9" w:name="_Toc32101"/>
      <w:r>
        <w:rPr>
          <w:rFonts w:hint="eastAsia" w:hAnsi="宋体" w:cs="宋体"/>
          <w:b/>
          <w:sz w:val="40"/>
          <w:szCs w:val="44"/>
        </w:rPr>
        <w:t>（正本/副本）</w:t>
      </w:r>
      <w:bookmarkEnd w:id="9"/>
    </w:p>
    <w:p>
      <w:pPr>
        <w:pStyle w:val="10"/>
        <w:jc w:val="center"/>
        <w:rPr>
          <w:rFonts w:hint="eastAsia" w:hAnsi="宋体" w:cs="宋体"/>
          <w:b/>
          <w:sz w:val="40"/>
          <w:szCs w:val="44"/>
        </w:rPr>
      </w:pPr>
    </w:p>
    <w:p>
      <w:pPr>
        <w:pStyle w:val="10"/>
        <w:jc w:val="center"/>
        <w:rPr>
          <w:rFonts w:hint="eastAsia" w:hAnsi="宋体" w:cs="宋体"/>
          <w:b/>
          <w:sz w:val="40"/>
          <w:szCs w:val="44"/>
        </w:rPr>
      </w:pPr>
    </w:p>
    <w:p>
      <w:pPr>
        <w:pStyle w:val="10"/>
        <w:jc w:val="center"/>
        <w:rPr>
          <w:rFonts w:hint="eastAsia" w:hAnsi="宋体" w:cs="宋体"/>
          <w:b/>
          <w:sz w:val="40"/>
          <w:szCs w:val="44"/>
        </w:rPr>
      </w:pPr>
    </w:p>
    <w:p>
      <w:pPr>
        <w:pStyle w:val="10"/>
        <w:jc w:val="center"/>
        <w:rPr>
          <w:rFonts w:hint="eastAsia" w:hAnsi="宋体" w:cs="宋体"/>
          <w:b/>
          <w:sz w:val="40"/>
          <w:szCs w:val="44"/>
        </w:rPr>
      </w:pPr>
    </w:p>
    <w:p>
      <w:pPr>
        <w:pStyle w:val="10"/>
        <w:jc w:val="center"/>
        <w:rPr>
          <w:rFonts w:hint="eastAsia" w:hAnsi="宋体" w:cs="宋体"/>
          <w:b/>
          <w:sz w:val="40"/>
          <w:szCs w:val="44"/>
        </w:rPr>
      </w:pPr>
    </w:p>
    <w:p>
      <w:pPr>
        <w:pStyle w:val="10"/>
        <w:spacing w:line="360" w:lineRule="auto"/>
        <w:ind w:firstLine="1079" w:firstLineChars="448"/>
        <w:rPr>
          <w:rFonts w:hint="eastAsia" w:hAnsi="宋体" w:cs="宋体"/>
          <w:b/>
          <w:sz w:val="24"/>
          <w:szCs w:val="28"/>
          <w:u w:val="thick"/>
        </w:rPr>
      </w:pPr>
      <w:bookmarkStart w:id="10" w:name="_Toc30247"/>
      <w:bookmarkStart w:id="11" w:name="_Toc15848"/>
      <w:r>
        <w:rPr>
          <w:rFonts w:hint="eastAsia" w:hAnsi="宋体" w:cs="宋体"/>
          <w:b/>
          <w:sz w:val="24"/>
          <w:szCs w:val="28"/>
        </w:rPr>
        <w:t>项目编号：</w:t>
      </w:r>
      <w:bookmarkEnd w:id="10"/>
      <w:bookmarkEnd w:id="11"/>
      <w:r>
        <w:rPr>
          <w:rFonts w:hint="eastAsia" w:hAnsi="宋体" w:cs="宋体"/>
          <w:b/>
          <w:sz w:val="24"/>
          <w:szCs w:val="28"/>
          <w:u w:val="thick"/>
        </w:rPr>
        <w:t xml:space="preserve">                       </w:t>
      </w:r>
    </w:p>
    <w:p>
      <w:pPr>
        <w:pStyle w:val="10"/>
        <w:spacing w:line="360" w:lineRule="auto"/>
        <w:ind w:firstLine="1079" w:firstLineChars="448"/>
        <w:rPr>
          <w:rFonts w:hint="eastAsia" w:hAnsi="宋体" w:cs="宋体"/>
          <w:b/>
          <w:sz w:val="24"/>
          <w:szCs w:val="28"/>
          <w:u w:val="single"/>
        </w:rPr>
      </w:pPr>
      <w:bookmarkStart w:id="12" w:name="_Toc32471"/>
      <w:bookmarkStart w:id="13" w:name="_Toc14520"/>
      <w:r>
        <w:rPr>
          <w:rFonts w:hint="eastAsia" w:hAnsi="宋体" w:cs="宋体"/>
          <w:b/>
          <w:sz w:val="24"/>
          <w:szCs w:val="28"/>
        </w:rPr>
        <w:t>项目名称：</w:t>
      </w:r>
      <w:bookmarkEnd w:id="12"/>
      <w:bookmarkEnd w:id="13"/>
      <w:r>
        <w:rPr>
          <w:rFonts w:hint="eastAsia" w:hAnsi="宋体" w:cs="宋体"/>
          <w:b/>
          <w:sz w:val="24"/>
          <w:szCs w:val="28"/>
          <w:u w:val="single"/>
        </w:rPr>
        <w:t xml:space="preserve">                       </w:t>
      </w:r>
    </w:p>
    <w:p>
      <w:pPr>
        <w:pStyle w:val="10"/>
        <w:ind w:firstLine="1234" w:firstLineChars="512"/>
        <w:rPr>
          <w:rFonts w:hint="eastAsia" w:hAnsi="宋体" w:cs="宋体"/>
          <w:b/>
          <w:sz w:val="24"/>
          <w:szCs w:val="28"/>
        </w:rPr>
      </w:pPr>
    </w:p>
    <w:p>
      <w:pPr>
        <w:pStyle w:val="10"/>
        <w:ind w:firstLine="2056" w:firstLineChars="512"/>
        <w:rPr>
          <w:rFonts w:hint="eastAsia" w:hAnsi="宋体" w:cs="宋体"/>
          <w:b/>
          <w:sz w:val="40"/>
          <w:szCs w:val="44"/>
        </w:rPr>
      </w:pPr>
    </w:p>
    <w:p>
      <w:pPr>
        <w:pStyle w:val="10"/>
        <w:ind w:firstLine="2056" w:firstLineChars="512"/>
        <w:rPr>
          <w:rFonts w:hint="eastAsia" w:hAnsi="宋体" w:cs="宋体"/>
          <w:b/>
          <w:sz w:val="40"/>
          <w:szCs w:val="44"/>
        </w:rPr>
      </w:pPr>
    </w:p>
    <w:p>
      <w:pPr>
        <w:pStyle w:val="10"/>
        <w:ind w:firstLine="2056" w:firstLineChars="512"/>
        <w:rPr>
          <w:rFonts w:hint="eastAsia" w:hAnsi="宋体" w:cs="宋体"/>
          <w:b/>
          <w:sz w:val="40"/>
          <w:szCs w:val="44"/>
        </w:rPr>
      </w:pPr>
    </w:p>
    <w:p>
      <w:pPr>
        <w:pStyle w:val="10"/>
        <w:ind w:firstLine="2056" w:firstLineChars="512"/>
        <w:rPr>
          <w:rFonts w:hint="eastAsia" w:hAnsi="宋体" w:cs="宋体"/>
          <w:b/>
          <w:sz w:val="40"/>
          <w:szCs w:val="44"/>
        </w:rPr>
      </w:pPr>
    </w:p>
    <w:p>
      <w:pPr>
        <w:pStyle w:val="10"/>
        <w:spacing w:line="360" w:lineRule="auto"/>
        <w:ind w:firstLine="1234" w:firstLineChars="512"/>
        <w:rPr>
          <w:rFonts w:hint="eastAsia" w:hAnsi="宋体" w:cs="宋体"/>
          <w:b/>
          <w:sz w:val="24"/>
          <w:szCs w:val="28"/>
          <w:u w:val="single"/>
        </w:rPr>
      </w:pPr>
      <w:bookmarkStart w:id="14" w:name="_Toc14406"/>
      <w:bookmarkStart w:id="15" w:name="_Toc14647"/>
      <w:r>
        <w:rPr>
          <w:rFonts w:hint="eastAsia" w:hAnsi="宋体" w:cs="宋体"/>
          <w:b/>
          <w:sz w:val="24"/>
          <w:szCs w:val="28"/>
        </w:rPr>
        <w:t>投标人名称（盖章）：</w:t>
      </w:r>
      <w:bookmarkEnd w:id="14"/>
      <w:bookmarkEnd w:id="15"/>
      <w:r>
        <w:rPr>
          <w:rFonts w:hint="eastAsia" w:hAnsi="宋体" w:cs="宋体"/>
          <w:b/>
          <w:sz w:val="24"/>
          <w:szCs w:val="28"/>
          <w:u w:val="single"/>
        </w:rPr>
        <w:t xml:space="preserve">                          </w:t>
      </w:r>
    </w:p>
    <w:p>
      <w:pPr>
        <w:autoSpaceDE w:val="0"/>
        <w:autoSpaceDN w:val="0"/>
        <w:spacing w:line="240" w:lineRule="atLeast"/>
        <w:ind w:firstLine="1234" w:firstLineChars="512"/>
        <w:rPr>
          <w:rFonts w:hint="eastAsia" w:ascii="宋体" w:hAnsi="宋体" w:cs="宋体"/>
          <w:b/>
          <w:sz w:val="24"/>
          <w:szCs w:val="28"/>
          <w:u w:val="single"/>
        </w:rPr>
      </w:pPr>
      <w:bookmarkStart w:id="16" w:name="_Toc30455"/>
      <w:bookmarkStart w:id="17" w:name="_Toc4787"/>
      <w:r>
        <w:rPr>
          <w:rFonts w:hint="eastAsia" w:ascii="宋体" w:hAnsi="宋体" w:cs="宋体"/>
          <w:b/>
          <w:sz w:val="24"/>
          <w:szCs w:val="28"/>
        </w:rPr>
        <w:t>日      期：</w:t>
      </w:r>
      <w:r>
        <w:rPr>
          <w:rFonts w:hint="eastAsia" w:ascii="宋体" w:hAnsi="宋体" w:cs="宋体"/>
          <w:b/>
          <w:sz w:val="24"/>
          <w:szCs w:val="28"/>
          <w:u w:val="single"/>
        </w:rPr>
        <w:t xml:space="preserve">          </w:t>
      </w:r>
      <w:r>
        <w:rPr>
          <w:rFonts w:hint="eastAsia" w:ascii="宋体" w:hAnsi="宋体" w:cs="宋体"/>
          <w:b/>
          <w:sz w:val="24"/>
          <w:szCs w:val="28"/>
        </w:rPr>
        <w:t>年</w:t>
      </w:r>
      <w:r>
        <w:rPr>
          <w:rFonts w:hint="eastAsia" w:ascii="宋体" w:hAnsi="宋体" w:cs="宋体"/>
          <w:b/>
          <w:sz w:val="24"/>
          <w:szCs w:val="28"/>
          <w:u w:val="single"/>
        </w:rPr>
        <w:t xml:space="preserve">     </w:t>
      </w:r>
      <w:r>
        <w:rPr>
          <w:rFonts w:hint="eastAsia" w:ascii="宋体" w:hAnsi="宋体" w:cs="宋体"/>
          <w:b/>
          <w:sz w:val="24"/>
          <w:szCs w:val="28"/>
        </w:rPr>
        <w:t>月</w:t>
      </w:r>
      <w:r>
        <w:rPr>
          <w:rFonts w:hint="eastAsia" w:ascii="宋体" w:hAnsi="宋体" w:cs="宋体"/>
          <w:b/>
          <w:sz w:val="24"/>
          <w:szCs w:val="28"/>
          <w:u w:val="single"/>
        </w:rPr>
        <w:t xml:space="preserve">     </w:t>
      </w:r>
      <w:r>
        <w:rPr>
          <w:rFonts w:hint="eastAsia" w:ascii="宋体" w:hAnsi="宋体" w:cs="宋体"/>
          <w:b/>
          <w:sz w:val="24"/>
          <w:szCs w:val="28"/>
        </w:rPr>
        <w:t>日</w:t>
      </w:r>
      <w:bookmarkEnd w:id="16"/>
      <w:bookmarkEnd w:id="17"/>
    </w:p>
    <w:p>
      <w:pPr>
        <w:rPr>
          <w:rFonts w:hint="eastAsia" w:ascii="宋体" w:hAnsi="宋体" w:cs="宋体"/>
          <w:sz w:val="44"/>
          <w:szCs w:val="44"/>
        </w:rPr>
      </w:pPr>
    </w:p>
    <w:p>
      <w:pPr>
        <w:widowControl/>
        <w:autoSpaceDE w:val="0"/>
        <w:autoSpaceDN w:val="0"/>
        <w:adjustRightInd w:val="0"/>
        <w:snapToGrid w:val="0"/>
        <w:spacing w:before="0" w:after="0" w:line="360" w:lineRule="auto"/>
        <w:ind w:left="0" w:right="0"/>
        <w:jc w:val="center"/>
        <w:rPr>
          <w:rFonts w:hint="eastAsia" w:ascii="宋体" w:hAnsi="宋体" w:cs="Times New Roman"/>
          <w:b/>
          <w:color w:val="auto"/>
          <w:sz w:val="28"/>
          <w:szCs w:val="28"/>
          <w:highlight w:val="none"/>
          <w:lang w:val="en-US" w:bidi="ar-SA"/>
        </w:rPr>
      </w:pPr>
      <w:r>
        <w:rPr>
          <w:rFonts w:hint="eastAsia" w:ascii="宋体" w:hAnsi="宋体" w:cs="宋体"/>
        </w:rPr>
        <w:br w:type="page"/>
      </w:r>
      <w:bookmarkStart w:id="18" w:name="_Toc202251704"/>
      <w:bookmarkStart w:id="19" w:name="_Toc202820357"/>
      <w:bookmarkStart w:id="20" w:name="_Toc22728"/>
      <w:bookmarkStart w:id="21" w:name="_Toc21657"/>
      <w:bookmarkStart w:id="22" w:name="_Toc202254110"/>
      <w:bookmarkStart w:id="23" w:name="_Toc3272"/>
      <w:bookmarkStart w:id="24" w:name="_Toc202819884"/>
      <w:bookmarkStart w:id="25" w:name="_Toc202252039"/>
      <w:bookmarkStart w:id="26" w:name="_Toc202817002"/>
      <w:bookmarkStart w:id="27" w:name="_Toc202251079"/>
      <w:bookmarkStart w:id="28" w:name="_Toc20229"/>
    </w:p>
    <w:p>
      <w:pPr>
        <w:widowControl w:val="0"/>
        <w:spacing w:line="240" w:lineRule="auto"/>
        <w:ind w:firstLine="0" w:firstLineChars="0"/>
        <w:jc w:val="both"/>
        <w:rPr>
          <w:rFonts w:ascii="Calibri" w:hAnsi="Calibri" w:eastAsia="宋体" w:cs="Times New Roman"/>
          <w:b/>
          <w:color w:val="auto"/>
          <w:sz w:val="28"/>
          <w:highlight w:val="none"/>
          <w:lang w:val="en-US" w:eastAsia="zh-CN" w:bidi="ar-SA"/>
        </w:rPr>
      </w:pPr>
      <w:bookmarkStart w:id="29" w:name="_Toc202816995"/>
      <w:bookmarkStart w:id="30" w:name="_Toc202251699"/>
      <w:bookmarkStart w:id="31" w:name="_Toc202254104"/>
      <w:bookmarkStart w:id="32" w:name="_Toc202252033"/>
      <w:bookmarkStart w:id="33" w:name="_Toc202820350"/>
      <w:bookmarkStart w:id="34" w:name="_Toc202819877"/>
      <w:bookmarkStart w:id="35" w:name="_Toc202251074"/>
      <w:r>
        <w:rPr>
          <w:rFonts w:hint="eastAsia" w:ascii="Calibri" w:hAnsi="Calibri" w:eastAsia="宋体" w:cs="Times New Roman"/>
          <w:b/>
          <w:color w:val="auto"/>
          <w:sz w:val="28"/>
          <w:highlight w:val="none"/>
          <w:lang w:val="en-US" w:eastAsia="zh-CN" w:bidi="ar-SA"/>
        </w:rPr>
        <w:t>一、自查表</w:t>
      </w:r>
      <w:bookmarkEnd w:id="29"/>
      <w:bookmarkEnd w:id="30"/>
      <w:bookmarkEnd w:id="31"/>
      <w:bookmarkEnd w:id="32"/>
      <w:bookmarkEnd w:id="33"/>
      <w:bookmarkEnd w:id="34"/>
      <w:bookmarkEnd w:id="35"/>
    </w:p>
    <w:p>
      <w:pPr>
        <w:widowControl w:val="0"/>
        <w:spacing w:after="0" w:line="360" w:lineRule="auto"/>
        <w:jc w:val="center"/>
        <w:rPr>
          <w:rFonts w:ascii="宋体" w:hAnsi="宋体" w:eastAsia="宋体" w:cs="宋体"/>
          <w:b/>
          <w:color w:val="auto"/>
          <w:kern w:val="2"/>
          <w:sz w:val="24"/>
          <w:szCs w:val="24"/>
          <w:highlight w:val="none"/>
          <w:lang w:val="en-US" w:eastAsia="zh-CN" w:bidi="ar-SA"/>
        </w:rPr>
      </w:pPr>
      <w:r>
        <w:rPr>
          <w:rFonts w:hint="eastAsia" w:cs="宋体"/>
          <w:b/>
          <w:color w:val="auto"/>
          <w:kern w:val="2"/>
          <w:sz w:val="24"/>
          <w:szCs w:val="24"/>
          <w:highlight w:val="none"/>
          <w:lang w:val="en-US" w:eastAsia="zh-CN" w:bidi="ar-SA"/>
        </w:rPr>
        <w:t>1.1</w:t>
      </w:r>
      <w:r>
        <w:rPr>
          <w:rFonts w:hint="eastAsia" w:ascii="宋体" w:hAnsi="宋体" w:eastAsia="宋体" w:cs="宋体"/>
          <w:b/>
          <w:color w:val="auto"/>
          <w:kern w:val="2"/>
          <w:sz w:val="24"/>
          <w:szCs w:val="24"/>
          <w:highlight w:val="none"/>
          <w:lang w:val="en-US" w:eastAsia="zh-CN" w:bidi="ar-SA"/>
        </w:rPr>
        <w:t>资格性、符合性自查表</w:t>
      </w:r>
    </w:p>
    <w:tbl>
      <w:tblPr>
        <w:tblStyle w:val="16"/>
        <w:tblW w:w="9857" w:type="dxa"/>
        <w:tblInd w:w="-28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57" w:type="dxa"/>
          <w:bottom w:w="57" w:type="dxa"/>
          <w:right w:w="57" w:type="dxa"/>
        </w:tblCellMar>
      </w:tblPr>
      <w:tblGrid>
        <w:gridCol w:w="560"/>
        <w:gridCol w:w="7113"/>
        <w:gridCol w:w="1033"/>
        <w:gridCol w:w="115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529" w:hRule="atLeast"/>
        </w:trPr>
        <w:tc>
          <w:tcPr>
            <w:tcW w:w="560" w:type="dxa"/>
            <w:tcBorders>
              <w:right w:val="single" w:color="auto"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jc w:val="center"/>
              <w:textAlignment w:val="auto"/>
              <w:rPr>
                <w:rFonts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序号</w:t>
            </w:r>
          </w:p>
        </w:tc>
        <w:tc>
          <w:tcPr>
            <w:tcW w:w="7113"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jc w:val="center"/>
              <w:textAlignment w:val="auto"/>
              <w:rPr>
                <w:rFonts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审查内容</w:t>
            </w:r>
          </w:p>
        </w:tc>
        <w:tc>
          <w:tcPr>
            <w:tcW w:w="1033" w:type="dxa"/>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jc w:val="center"/>
              <w:textAlignment w:val="auto"/>
              <w:rPr>
                <w:rFonts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自查结论</w:t>
            </w:r>
          </w:p>
        </w:tc>
        <w:tc>
          <w:tcPr>
            <w:tcW w:w="1151" w:type="dxa"/>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jc w:val="center"/>
              <w:textAlignment w:val="auto"/>
              <w:rPr>
                <w:rFonts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证明材料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trPr>
        <w:tc>
          <w:tcPr>
            <w:tcW w:w="560" w:type="dxa"/>
            <w:tcBorders>
              <w:right w:val="single" w:color="auto"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bidi="ar-SA"/>
              </w:rPr>
              <w:t>1</w:t>
            </w:r>
          </w:p>
        </w:tc>
        <w:tc>
          <w:tcPr>
            <w:tcW w:w="7113"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jc w:val="left"/>
              <w:textAlignment w:val="auto"/>
              <w:rPr>
                <w:rFonts w:hint="eastAsia"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符合《中华人民共和国政府采购法》第二十二条规定的条件。</w:t>
            </w:r>
          </w:p>
          <w:p>
            <w:pPr>
              <w:keepNext w:val="0"/>
              <w:keepLines w:val="0"/>
              <w:pageBreakBefore w:val="0"/>
              <w:widowControl/>
              <w:kinsoku/>
              <w:wordWrap/>
              <w:overflowPunct/>
              <w:topLinePunct w:val="0"/>
              <w:autoSpaceDE/>
              <w:autoSpaceDN/>
              <w:bidi w:val="0"/>
              <w:adjustRightInd/>
              <w:snapToGrid/>
              <w:spacing w:before="0" w:after="0" w:line="240" w:lineRule="exact"/>
              <w:ind w:left="0" w:right="0"/>
              <w:jc w:val="left"/>
              <w:textAlignment w:val="auto"/>
              <w:rPr>
                <w:rFonts w:hint="eastAsia"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1）具有独立承担民事责任的能力：在中华人民共和国境内注册的法人或其他组织或自然人，投标（响应）时提交有效的营业执照（或事业法人登记证或身份证等相关证明）复印件。分支机构投标的，须提供总公司和分公司营业执照复印件，总公司出具给分支机构的授权书。</w:t>
            </w:r>
          </w:p>
          <w:p>
            <w:pPr>
              <w:keepNext w:val="0"/>
              <w:keepLines w:val="0"/>
              <w:pageBreakBefore w:val="0"/>
              <w:widowControl/>
              <w:kinsoku/>
              <w:wordWrap/>
              <w:overflowPunct/>
              <w:topLinePunct w:val="0"/>
              <w:autoSpaceDE/>
              <w:autoSpaceDN/>
              <w:bidi w:val="0"/>
              <w:adjustRightInd/>
              <w:snapToGrid/>
              <w:spacing w:before="0" w:after="0" w:line="240" w:lineRule="exact"/>
              <w:ind w:left="0" w:right="0"/>
              <w:jc w:val="left"/>
              <w:textAlignment w:val="auto"/>
              <w:rPr>
                <w:rFonts w:hint="eastAsia"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（2）有依法缴纳税收和社会保障资金的良好记录：提供《投标人资格声明函》。</w:t>
            </w:r>
          </w:p>
          <w:p>
            <w:pPr>
              <w:keepNext w:val="0"/>
              <w:keepLines w:val="0"/>
              <w:pageBreakBefore w:val="0"/>
              <w:widowControl/>
              <w:kinsoku/>
              <w:wordWrap/>
              <w:overflowPunct/>
              <w:topLinePunct w:val="0"/>
              <w:autoSpaceDE/>
              <w:autoSpaceDN/>
              <w:bidi w:val="0"/>
              <w:adjustRightInd/>
              <w:snapToGrid/>
              <w:spacing w:before="0" w:after="0" w:line="240" w:lineRule="exact"/>
              <w:ind w:left="0" w:right="0"/>
              <w:jc w:val="left"/>
              <w:textAlignment w:val="auto"/>
              <w:rPr>
                <w:rFonts w:hint="eastAsia"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（3）具有良好的商业信誉和健全的财务会计制度：提供《投标人资格声明函》。</w:t>
            </w:r>
          </w:p>
          <w:p>
            <w:pPr>
              <w:keepNext w:val="0"/>
              <w:keepLines w:val="0"/>
              <w:pageBreakBefore w:val="0"/>
              <w:widowControl/>
              <w:kinsoku/>
              <w:wordWrap/>
              <w:overflowPunct/>
              <w:topLinePunct w:val="0"/>
              <w:autoSpaceDE/>
              <w:autoSpaceDN/>
              <w:bidi w:val="0"/>
              <w:adjustRightInd/>
              <w:snapToGrid/>
              <w:spacing w:before="0" w:after="0" w:line="240" w:lineRule="exact"/>
              <w:ind w:left="0" w:right="0"/>
              <w:jc w:val="left"/>
              <w:textAlignment w:val="auto"/>
              <w:rPr>
                <w:rFonts w:hint="eastAsia"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（4）履行合同所必需的设备和专业技术能力：提供《投标人资格声明函》。</w:t>
            </w: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jc w:val="left"/>
              <w:textAlignment w:val="auto"/>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（5）参加采购活动前3年内，在经营活动中没有重大违法记录：提供《投标人资格声明函》。</w:t>
            </w:r>
          </w:p>
        </w:tc>
        <w:tc>
          <w:tcPr>
            <w:tcW w:w="1033" w:type="dxa"/>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jc w:val="center"/>
              <w:textAlignment w:val="auto"/>
              <w:rPr>
                <w:rFonts w:hint="eastAsia"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□通过</w:t>
            </w: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jc w:val="center"/>
              <w:textAlignment w:val="auto"/>
              <w:rPr>
                <w:rFonts w:ascii="宋体" w:hAnsi="宋体" w:cs="宋体"/>
                <w:color w:val="auto"/>
                <w:sz w:val="21"/>
                <w:szCs w:val="20"/>
                <w:highlight w:val="none"/>
                <w:lang w:val="en-US" w:bidi="ar-SA"/>
              </w:rPr>
            </w:pPr>
            <w:r>
              <w:rPr>
                <w:rFonts w:hint="eastAsia" w:ascii="宋体" w:hAnsi="宋体" w:cs="宋体"/>
                <w:color w:val="auto"/>
                <w:sz w:val="21"/>
                <w:szCs w:val="21"/>
                <w:highlight w:val="none"/>
                <w:lang w:val="en-US" w:bidi="ar-SA"/>
              </w:rPr>
              <w:t>□不通过</w:t>
            </w:r>
          </w:p>
        </w:tc>
        <w:tc>
          <w:tcPr>
            <w:tcW w:w="1151" w:type="dxa"/>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jc w:val="center"/>
              <w:textAlignment w:val="auto"/>
              <w:rPr>
                <w:rFonts w:ascii="宋体" w:hAnsi="宋体" w:cs="宋体"/>
                <w:color w:val="auto"/>
                <w:sz w:val="21"/>
                <w:szCs w:val="20"/>
                <w:highlight w:val="none"/>
                <w:lang w:val="en-US" w:bidi="ar-SA"/>
              </w:rPr>
            </w:pPr>
            <w:r>
              <w:rPr>
                <w:rFonts w:hint="eastAsia" w:ascii="宋体" w:hAnsi="宋体" w:cs="宋体"/>
                <w:color w:val="auto"/>
                <w:sz w:val="21"/>
                <w:szCs w:val="21"/>
                <w:highlight w:val="none"/>
                <w:lang w:val="en-US" w:bidi="ar-SA"/>
              </w:rPr>
              <w:t>见响应文件第（）页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trPr>
        <w:tc>
          <w:tcPr>
            <w:tcW w:w="560" w:type="dxa"/>
            <w:tcBorders>
              <w:right w:val="single" w:color="auto"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jc w:val="center"/>
              <w:textAlignment w:val="auto"/>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2</w:t>
            </w:r>
          </w:p>
        </w:tc>
        <w:tc>
          <w:tcPr>
            <w:tcW w:w="7113"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jc w:val="left"/>
              <w:textAlignment w:val="auto"/>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本项目专门面向中小企业采购，供应商应为中小微企业、监狱企业、残疾人福利性单位。（提供《中小企业声明函》或属于监狱企业的证明材料或《残疾人福利性单位声明函》）</w:t>
            </w:r>
          </w:p>
        </w:tc>
        <w:tc>
          <w:tcPr>
            <w:tcW w:w="1033" w:type="dxa"/>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jc w:val="center"/>
              <w:textAlignment w:val="auto"/>
              <w:rPr>
                <w:rFonts w:hint="eastAsia"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□通过</w:t>
            </w: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jc w:val="center"/>
              <w:textAlignment w:val="auto"/>
              <w:rPr>
                <w:rFonts w:ascii="宋体" w:hAnsi="宋体" w:cs="宋体"/>
                <w:color w:val="auto"/>
                <w:sz w:val="21"/>
                <w:szCs w:val="20"/>
                <w:highlight w:val="none"/>
                <w:lang w:val="en-US" w:bidi="ar-SA"/>
              </w:rPr>
            </w:pPr>
            <w:r>
              <w:rPr>
                <w:rFonts w:hint="eastAsia" w:ascii="宋体" w:hAnsi="宋体" w:cs="宋体"/>
                <w:color w:val="auto"/>
                <w:sz w:val="21"/>
                <w:szCs w:val="21"/>
                <w:highlight w:val="none"/>
                <w:lang w:val="en-US" w:bidi="ar-SA"/>
              </w:rPr>
              <w:t>□不通过</w:t>
            </w:r>
          </w:p>
        </w:tc>
        <w:tc>
          <w:tcPr>
            <w:tcW w:w="1151" w:type="dxa"/>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jc w:val="center"/>
              <w:textAlignment w:val="auto"/>
              <w:rPr>
                <w:rFonts w:ascii="宋体" w:hAnsi="宋体" w:cs="宋体"/>
                <w:color w:val="auto"/>
                <w:sz w:val="21"/>
                <w:szCs w:val="20"/>
                <w:highlight w:val="none"/>
                <w:lang w:val="en-US" w:bidi="ar-SA"/>
              </w:rPr>
            </w:pPr>
            <w:r>
              <w:rPr>
                <w:rFonts w:hint="eastAsia" w:ascii="宋体" w:hAnsi="宋体" w:cs="宋体"/>
                <w:color w:val="auto"/>
                <w:sz w:val="21"/>
                <w:szCs w:val="21"/>
                <w:highlight w:val="none"/>
                <w:lang w:val="en-US" w:bidi="ar-SA"/>
              </w:rPr>
              <w:t>见响应文件第（）页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trPr>
        <w:tc>
          <w:tcPr>
            <w:tcW w:w="560" w:type="dxa"/>
            <w:tcBorders>
              <w:right w:val="single" w:color="auto"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jc w:val="center"/>
              <w:textAlignment w:val="auto"/>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3</w:t>
            </w:r>
          </w:p>
        </w:tc>
        <w:tc>
          <w:tcPr>
            <w:tcW w:w="7113"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jc w:val="left"/>
              <w:textAlignment w:val="auto"/>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供应商未列入“信用中国”网站(www.creditchina.gov.cn)“记录失信被执行人或重大税收违法案件当事人名单或政府采购严重违法失信行为”的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c>
          <w:tcPr>
            <w:tcW w:w="1033" w:type="dxa"/>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jc w:val="center"/>
              <w:textAlignment w:val="auto"/>
              <w:rPr>
                <w:rFonts w:hint="eastAsia"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□通过</w:t>
            </w: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jc w:val="center"/>
              <w:textAlignment w:val="auto"/>
              <w:rPr>
                <w:rFonts w:ascii="宋体" w:hAnsi="宋体" w:cs="宋体"/>
                <w:color w:val="auto"/>
                <w:sz w:val="21"/>
                <w:szCs w:val="20"/>
                <w:highlight w:val="none"/>
                <w:lang w:val="en-US" w:bidi="ar-SA"/>
              </w:rPr>
            </w:pPr>
            <w:r>
              <w:rPr>
                <w:rFonts w:hint="eastAsia" w:ascii="宋体" w:hAnsi="宋体" w:cs="宋体"/>
                <w:color w:val="auto"/>
                <w:sz w:val="21"/>
                <w:szCs w:val="21"/>
                <w:highlight w:val="none"/>
                <w:lang w:val="en-US" w:bidi="ar-SA"/>
              </w:rPr>
              <w:t>□不通过</w:t>
            </w:r>
          </w:p>
        </w:tc>
        <w:tc>
          <w:tcPr>
            <w:tcW w:w="1151" w:type="dxa"/>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jc w:val="center"/>
              <w:textAlignment w:val="auto"/>
              <w:rPr>
                <w:rFonts w:ascii="宋体" w:hAnsi="宋体" w:cs="宋体"/>
                <w:color w:val="auto"/>
                <w:sz w:val="21"/>
                <w:szCs w:val="20"/>
                <w:highlight w:val="none"/>
                <w:lang w:val="en-US" w:bidi="ar-SA"/>
              </w:rPr>
            </w:pPr>
            <w:r>
              <w:rPr>
                <w:rFonts w:hint="eastAsia" w:ascii="宋体" w:hAnsi="宋体" w:cs="宋体"/>
                <w:color w:val="auto"/>
                <w:sz w:val="21"/>
                <w:szCs w:val="21"/>
                <w:highlight w:val="none"/>
                <w:lang w:val="en-US" w:bidi="ar-SA"/>
              </w:rPr>
              <w:t>见响应文件第（）页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trPr>
        <w:tc>
          <w:tcPr>
            <w:tcW w:w="560" w:type="dxa"/>
            <w:tcBorders>
              <w:right w:val="single" w:color="auto"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jc w:val="center"/>
              <w:textAlignment w:val="auto"/>
              <w:rPr>
                <w:rFonts w:ascii="宋体" w:hAnsi="宋体" w:cs="宋体"/>
                <w:color w:val="auto"/>
                <w:sz w:val="21"/>
                <w:szCs w:val="21"/>
                <w:highlight w:val="none"/>
                <w:lang w:val="en-US" w:bidi="ar-SA"/>
              </w:rPr>
            </w:pPr>
            <w:r>
              <w:rPr>
                <w:rFonts w:ascii="宋体" w:hAnsi="宋体" w:cs="宋体"/>
                <w:color w:val="auto"/>
                <w:sz w:val="21"/>
                <w:szCs w:val="21"/>
                <w:highlight w:val="none"/>
                <w:lang w:val="en-US" w:bidi="ar-SA"/>
              </w:rPr>
              <w:t>4</w:t>
            </w:r>
          </w:p>
        </w:tc>
        <w:tc>
          <w:tcPr>
            <w:tcW w:w="7113"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jc w:val="left"/>
              <w:textAlignment w:val="auto"/>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单位负责人为同一人或者存在直接控股、管理关系的不同供应商，不得同时参加本采购项目投标（响应）。为本项目提供整体设计、规范编制或者项目管理、监理、检测等服务的供应商，不得再参与本项目投标（响应）：提供《投标人资格声明函》。</w:t>
            </w:r>
          </w:p>
        </w:tc>
        <w:tc>
          <w:tcPr>
            <w:tcW w:w="1033" w:type="dxa"/>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jc w:val="center"/>
              <w:textAlignment w:val="auto"/>
              <w:rPr>
                <w:rFonts w:hint="eastAsia"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□通过</w:t>
            </w: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jc w:val="center"/>
              <w:textAlignment w:val="auto"/>
              <w:rPr>
                <w:rFonts w:ascii="宋体" w:hAnsi="宋体" w:cs="宋体"/>
                <w:color w:val="auto"/>
                <w:sz w:val="21"/>
                <w:szCs w:val="20"/>
                <w:highlight w:val="none"/>
                <w:lang w:val="en-US" w:bidi="ar-SA"/>
              </w:rPr>
            </w:pPr>
            <w:r>
              <w:rPr>
                <w:rFonts w:hint="eastAsia" w:ascii="宋体" w:hAnsi="宋体" w:cs="宋体"/>
                <w:color w:val="auto"/>
                <w:sz w:val="21"/>
                <w:szCs w:val="21"/>
                <w:highlight w:val="none"/>
                <w:lang w:val="en-US" w:bidi="ar-SA"/>
              </w:rPr>
              <w:t>□不通过</w:t>
            </w:r>
          </w:p>
        </w:tc>
        <w:tc>
          <w:tcPr>
            <w:tcW w:w="1151" w:type="dxa"/>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jc w:val="center"/>
              <w:textAlignment w:val="auto"/>
              <w:rPr>
                <w:rFonts w:ascii="宋体" w:hAnsi="宋体" w:cs="宋体"/>
                <w:color w:val="auto"/>
                <w:sz w:val="21"/>
                <w:szCs w:val="20"/>
                <w:highlight w:val="none"/>
                <w:lang w:val="en-US" w:bidi="ar-SA"/>
              </w:rPr>
            </w:pPr>
            <w:r>
              <w:rPr>
                <w:rFonts w:hint="eastAsia" w:ascii="宋体" w:hAnsi="宋体" w:cs="宋体"/>
                <w:color w:val="auto"/>
                <w:sz w:val="21"/>
                <w:szCs w:val="21"/>
                <w:highlight w:val="none"/>
                <w:lang w:val="en-US" w:bidi="ar-SA"/>
              </w:rPr>
              <w:t>见响应文件第（）页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658" w:hRule="atLeast"/>
        </w:trPr>
        <w:tc>
          <w:tcPr>
            <w:tcW w:w="560" w:type="dxa"/>
            <w:tcBorders>
              <w:right w:val="single" w:color="auto"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jc w:val="center"/>
              <w:textAlignment w:val="auto"/>
              <w:rPr>
                <w:rFonts w:hint="eastAsia" w:ascii="宋体" w:hAnsi="宋体" w:cs="宋体"/>
                <w:color w:val="auto"/>
                <w:sz w:val="21"/>
                <w:szCs w:val="21"/>
                <w:highlight w:val="none"/>
                <w:lang w:val="en-US" w:eastAsia="zh-CN" w:bidi="ar-SA"/>
              </w:rPr>
            </w:pPr>
            <w:r>
              <w:rPr>
                <w:rFonts w:hint="eastAsia" w:cs="宋体"/>
                <w:color w:val="auto"/>
                <w:sz w:val="21"/>
                <w:szCs w:val="21"/>
                <w:highlight w:val="none"/>
                <w:lang w:val="en-US" w:eastAsia="zh-CN" w:bidi="ar-SA"/>
              </w:rPr>
              <w:t>5</w:t>
            </w:r>
          </w:p>
        </w:tc>
        <w:tc>
          <w:tcPr>
            <w:tcW w:w="7113"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jc w:val="both"/>
              <w:textAlignment w:val="auto"/>
              <w:rPr>
                <w:rFonts w:hint="eastAsia" w:ascii="宋体" w:hAnsi="宋体" w:cs="宋体"/>
                <w:color w:val="auto"/>
                <w:sz w:val="21"/>
                <w:szCs w:val="21"/>
                <w:highlight w:val="none"/>
                <w:lang w:val="en-US" w:bidi="ar-SA"/>
              </w:rPr>
            </w:pPr>
            <w:r>
              <w:rPr>
                <w:rFonts w:hint="eastAsia" w:ascii="宋体" w:hAnsi="宋体" w:cs="宋体"/>
                <w:color w:val="auto"/>
                <w:sz w:val="21"/>
                <w:szCs w:val="21"/>
                <w:highlight w:val="none"/>
                <w:lang w:val="en-US" w:eastAsia="zh-CN" w:bidi="ar-SA"/>
              </w:rPr>
              <w:t>供应商须具有《人力资源服务许可证》（提供有效的证书盖章复印件）</w:t>
            </w:r>
          </w:p>
        </w:tc>
        <w:tc>
          <w:tcPr>
            <w:tcW w:w="1033" w:type="dxa"/>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jc w:val="center"/>
              <w:textAlignment w:val="auto"/>
              <w:rPr>
                <w:rFonts w:hint="eastAsia"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□通过</w:t>
            </w: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jc w:val="center"/>
              <w:textAlignment w:val="auto"/>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bidi="ar-SA"/>
              </w:rPr>
              <w:t>□不通过</w:t>
            </w:r>
          </w:p>
        </w:tc>
        <w:tc>
          <w:tcPr>
            <w:tcW w:w="1151" w:type="dxa"/>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jc w:val="center"/>
              <w:textAlignment w:val="auto"/>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bidi="ar-SA"/>
              </w:rPr>
              <w:t>见响应文件第（）页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837" w:hRule="atLeast"/>
        </w:trPr>
        <w:tc>
          <w:tcPr>
            <w:tcW w:w="560" w:type="dxa"/>
            <w:tcBorders>
              <w:right w:val="single" w:color="auto"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jc w:val="center"/>
              <w:textAlignment w:val="auto"/>
              <w:rPr>
                <w:rFonts w:hint="default" w:cs="宋体"/>
                <w:color w:val="auto"/>
                <w:sz w:val="21"/>
                <w:szCs w:val="21"/>
                <w:highlight w:val="none"/>
                <w:lang w:val="en-US" w:eastAsia="zh-CN" w:bidi="ar-SA"/>
              </w:rPr>
            </w:pPr>
            <w:r>
              <w:rPr>
                <w:rFonts w:hint="eastAsia" w:cs="宋体"/>
                <w:color w:val="auto"/>
                <w:sz w:val="21"/>
                <w:szCs w:val="21"/>
                <w:highlight w:val="none"/>
                <w:lang w:val="en-US" w:eastAsia="zh-CN" w:bidi="ar-SA"/>
              </w:rPr>
              <w:t>6</w:t>
            </w:r>
          </w:p>
        </w:tc>
        <w:tc>
          <w:tcPr>
            <w:tcW w:w="7113"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jc w:val="both"/>
              <w:textAlignment w:val="auto"/>
              <w:rPr>
                <w:rFonts w:hint="eastAsia" w:ascii="宋体" w:hAnsi="宋体" w:cs="宋体"/>
                <w:color w:val="auto"/>
                <w:sz w:val="21"/>
                <w:szCs w:val="21"/>
                <w:highlight w:val="none"/>
                <w:lang w:val="en-US" w:eastAsia="zh-CN" w:bidi="ar-SA"/>
              </w:rPr>
            </w:pPr>
            <w:r>
              <w:rPr>
                <w:rFonts w:hint="eastAsia" w:ascii="宋体" w:hAnsi="宋体" w:cs="宋体"/>
                <w:color w:val="auto"/>
                <w:sz w:val="20"/>
                <w:szCs w:val="20"/>
                <w:highlight w:val="none"/>
                <w:lang w:val="en-US" w:bidi="ar-SA"/>
              </w:rPr>
              <w:t>投标报价满足招标文件要求（①报价唯一性；②报价未超最高限价；③未改变固定报价项（如有）；④按要求提供分项报价表（如有）；⑤报价合理性及异常低价响应审查（如有））</w:t>
            </w:r>
          </w:p>
        </w:tc>
        <w:tc>
          <w:tcPr>
            <w:tcW w:w="1033" w:type="dxa"/>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jc w:val="center"/>
              <w:textAlignment w:val="auto"/>
              <w:rPr>
                <w:rFonts w:hint="eastAsia"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□通过</w:t>
            </w: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bidi="ar-SA"/>
              </w:rPr>
              <w:t>□不通过</w:t>
            </w:r>
          </w:p>
        </w:tc>
        <w:tc>
          <w:tcPr>
            <w:tcW w:w="1151" w:type="dxa"/>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bidi="ar-SA"/>
              </w:rPr>
              <w:t>见响应文件第（）页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358" w:hRule="atLeast"/>
        </w:trPr>
        <w:tc>
          <w:tcPr>
            <w:tcW w:w="560" w:type="dxa"/>
            <w:tcBorders>
              <w:right w:val="single" w:color="auto"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jc w:val="center"/>
              <w:textAlignment w:val="auto"/>
              <w:rPr>
                <w:rFonts w:hint="eastAsia" w:ascii="宋体" w:hAnsi="宋体" w:eastAsia="宋体" w:cs="宋体"/>
                <w:color w:val="auto"/>
                <w:sz w:val="21"/>
                <w:szCs w:val="21"/>
                <w:highlight w:val="none"/>
                <w:lang w:val="en-US" w:eastAsia="zh-CN" w:bidi="ar-SA"/>
              </w:rPr>
            </w:pPr>
            <w:r>
              <w:rPr>
                <w:rFonts w:hint="eastAsia" w:cs="宋体"/>
                <w:color w:val="auto"/>
                <w:sz w:val="21"/>
                <w:szCs w:val="21"/>
                <w:highlight w:val="none"/>
                <w:lang w:val="en-US" w:eastAsia="zh-CN" w:bidi="ar-SA"/>
              </w:rPr>
              <w:t>7</w:t>
            </w:r>
          </w:p>
        </w:tc>
        <w:tc>
          <w:tcPr>
            <w:tcW w:w="7113"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jc w:val="left"/>
              <w:textAlignment w:val="auto"/>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bidi="ar-SA"/>
              </w:rPr>
              <w:t>按照招标文件规定要求签署、盖章且投标文件有法定代表人签字或盖个人名章（或签字人有法定代表人有效授权书）的</w:t>
            </w:r>
            <w:r>
              <w:rPr>
                <w:rFonts w:hint="eastAsia" w:cs="宋体"/>
                <w:color w:val="auto"/>
                <w:sz w:val="21"/>
                <w:szCs w:val="21"/>
                <w:highlight w:val="none"/>
                <w:lang w:val="en-US" w:eastAsia="zh-CN" w:bidi="ar-SA"/>
              </w:rPr>
              <w:t>。</w:t>
            </w:r>
          </w:p>
        </w:tc>
        <w:tc>
          <w:tcPr>
            <w:tcW w:w="1033" w:type="dxa"/>
            <w:shd w:val="clear" w:color="auto" w:fill="auto"/>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jc w:val="center"/>
              <w:textAlignment w:val="auto"/>
              <w:rPr>
                <w:rFonts w:hint="eastAsia"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□通过</w:t>
            </w: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jc w:val="center"/>
              <w:textAlignment w:val="auto"/>
              <w:rPr>
                <w:rFonts w:hint="eastAsia" w:ascii="宋体" w:hAnsi="宋体" w:eastAsia="宋体" w:cs="宋体"/>
                <w:color w:val="auto"/>
                <w:sz w:val="21"/>
                <w:szCs w:val="20"/>
                <w:highlight w:val="none"/>
                <w:lang w:val="en-US" w:eastAsia="zh-CN" w:bidi="ar-SA"/>
              </w:rPr>
            </w:pPr>
            <w:r>
              <w:rPr>
                <w:rFonts w:hint="eastAsia" w:ascii="宋体" w:hAnsi="宋体" w:cs="宋体"/>
                <w:color w:val="auto"/>
                <w:sz w:val="21"/>
                <w:szCs w:val="21"/>
                <w:highlight w:val="none"/>
                <w:lang w:val="en-US" w:bidi="ar-SA"/>
              </w:rPr>
              <w:t>□不通过</w:t>
            </w:r>
          </w:p>
        </w:tc>
        <w:tc>
          <w:tcPr>
            <w:tcW w:w="115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jc w:val="center"/>
              <w:textAlignment w:val="auto"/>
              <w:rPr>
                <w:rFonts w:hint="eastAsia" w:ascii="宋体" w:hAnsi="宋体" w:eastAsia="宋体" w:cs="宋体"/>
                <w:color w:val="auto"/>
                <w:sz w:val="21"/>
                <w:szCs w:val="20"/>
                <w:highlight w:val="none"/>
                <w:lang w:val="en-US" w:eastAsia="zh-CN" w:bidi="ar-SA"/>
              </w:rPr>
            </w:pPr>
            <w:r>
              <w:rPr>
                <w:rFonts w:hint="eastAsia" w:ascii="宋体" w:hAnsi="宋体" w:cs="宋体"/>
                <w:color w:val="auto"/>
                <w:sz w:val="21"/>
                <w:szCs w:val="21"/>
                <w:highlight w:val="none"/>
                <w:lang w:val="en-US" w:bidi="ar-SA"/>
              </w:rPr>
              <w:t>见响应文件第（）页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trPr>
        <w:tc>
          <w:tcPr>
            <w:tcW w:w="560" w:type="dxa"/>
            <w:tcBorders>
              <w:right w:val="single" w:color="auto"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jc w:val="center"/>
              <w:textAlignment w:val="auto"/>
              <w:rPr>
                <w:rFonts w:hint="eastAsia" w:ascii="宋体" w:hAnsi="宋体" w:eastAsia="宋体" w:cs="宋体"/>
                <w:color w:val="auto"/>
                <w:sz w:val="21"/>
                <w:szCs w:val="21"/>
                <w:highlight w:val="none"/>
                <w:lang w:val="en-US" w:eastAsia="zh-CN" w:bidi="ar-SA"/>
              </w:rPr>
            </w:pPr>
            <w:r>
              <w:rPr>
                <w:rFonts w:hint="eastAsia" w:cs="宋体"/>
                <w:color w:val="auto"/>
                <w:sz w:val="21"/>
                <w:szCs w:val="21"/>
                <w:highlight w:val="none"/>
                <w:lang w:val="en-US" w:eastAsia="zh-CN" w:bidi="ar-SA"/>
              </w:rPr>
              <w:t>8</w:t>
            </w:r>
          </w:p>
        </w:tc>
        <w:tc>
          <w:tcPr>
            <w:tcW w:w="7113"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0"/>
                <w:szCs w:val="20"/>
                <w:highlight w:val="none"/>
                <w:lang w:val="en-US" w:eastAsia="zh-CN" w:bidi="ar-SA"/>
              </w:rPr>
              <w:t>投标文件完全响应招标文件的实质性条款（即标注★号条款，如有）。</w:t>
            </w:r>
          </w:p>
        </w:tc>
        <w:tc>
          <w:tcPr>
            <w:tcW w:w="1033" w:type="dxa"/>
            <w:shd w:val="clear" w:color="auto" w:fill="auto"/>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jc w:val="center"/>
              <w:textAlignment w:val="auto"/>
              <w:rPr>
                <w:rFonts w:hint="eastAsia"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□通过</w:t>
            </w: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jc w:val="center"/>
              <w:textAlignment w:val="auto"/>
              <w:rPr>
                <w:rFonts w:hint="eastAsia" w:ascii="宋体" w:hAnsi="宋体" w:eastAsia="宋体" w:cs="宋体"/>
                <w:color w:val="auto"/>
                <w:sz w:val="21"/>
                <w:szCs w:val="20"/>
                <w:highlight w:val="none"/>
                <w:lang w:val="en-US" w:eastAsia="zh-CN" w:bidi="ar-SA"/>
              </w:rPr>
            </w:pPr>
            <w:r>
              <w:rPr>
                <w:rFonts w:hint="eastAsia" w:ascii="宋体" w:hAnsi="宋体" w:cs="宋体"/>
                <w:color w:val="auto"/>
                <w:sz w:val="21"/>
                <w:szCs w:val="21"/>
                <w:highlight w:val="none"/>
                <w:lang w:val="en-US" w:bidi="ar-SA"/>
              </w:rPr>
              <w:t>□不通过</w:t>
            </w:r>
          </w:p>
        </w:tc>
        <w:tc>
          <w:tcPr>
            <w:tcW w:w="115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jc w:val="center"/>
              <w:textAlignment w:val="auto"/>
              <w:rPr>
                <w:rFonts w:hint="eastAsia" w:ascii="宋体" w:hAnsi="宋体" w:eastAsia="宋体" w:cs="宋体"/>
                <w:color w:val="auto"/>
                <w:sz w:val="21"/>
                <w:szCs w:val="20"/>
                <w:highlight w:val="none"/>
                <w:lang w:val="en-US" w:eastAsia="zh-CN" w:bidi="ar-SA"/>
              </w:rPr>
            </w:pPr>
            <w:r>
              <w:rPr>
                <w:rFonts w:hint="eastAsia" w:ascii="宋体" w:hAnsi="宋体" w:cs="宋体"/>
                <w:color w:val="auto"/>
                <w:sz w:val="21"/>
                <w:szCs w:val="21"/>
                <w:highlight w:val="none"/>
                <w:lang w:val="en-US" w:bidi="ar-SA"/>
              </w:rPr>
              <w:t>见响应文件第（）页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trPr>
        <w:tc>
          <w:tcPr>
            <w:tcW w:w="560" w:type="dxa"/>
            <w:tcBorders>
              <w:right w:val="single" w:color="auto"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jc w:val="center"/>
              <w:textAlignment w:val="auto"/>
              <w:rPr>
                <w:rFonts w:hint="eastAsia" w:ascii="宋体" w:hAnsi="宋体" w:eastAsia="宋体" w:cs="宋体"/>
                <w:color w:val="auto"/>
                <w:sz w:val="21"/>
                <w:szCs w:val="21"/>
                <w:highlight w:val="none"/>
                <w:lang w:val="en-US" w:eastAsia="zh-CN" w:bidi="ar-SA"/>
              </w:rPr>
            </w:pPr>
            <w:r>
              <w:rPr>
                <w:rFonts w:hint="eastAsia" w:cs="宋体"/>
                <w:color w:val="auto"/>
                <w:sz w:val="21"/>
                <w:szCs w:val="21"/>
                <w:highlight w:val="none"/>
                <w:lang w:val="en-US" w:eastAsia="zh-CN" w:bidi="ar-SA"/>
              </w:rPr>
              <w:t>9</w:t>
            </w:r>
          </w:p>
        </w:tc>
        <w:tc>
          <w:tcPr>
            <w:tcW w:w="7113"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jc w:val="left"/>
              <w:textAlignment w:val="auto"/>
              <w:rPr>
                <w:rFonts w:hint="eastAsia" w:ascii="宋体" w:hAnsi="宋体" w:eastAsia="宋体" w:cs="宋体"/>
                <w:color w:val="auto"/>
                <w:sz w:val="21"/>
                <w:szCs w:val="21"/>
                <w:highlight w:val="none"/>
                <w:lang w:val="en-US" w:bidi="ar-SA"/>
              </w:rPr>
            </w:pPr>
            <w:r>
              <w:rPr>
                <w:rFonts w:hint="eastAsia" w:cs="宋体"/>
                <w:color w:val="auto"/>
                <w:sz w:val="20"/>
                <w:szCs w:val="20"/>
                <w:highlight w:val="none"/>
                <w:lang w:val="en-US" w:eastAsia="zh-CN" w:bidi="ar-SA"/>
              </w:rPr>
              <w:t>不存在投标人串通投标情形。</w:t>
            </w:r>
          </w:p>
        </w:tc>
        <w:tc>
          <w:tcPr>
            <w:tcW w:w="1033" w:type="dxa"/>
            <w:shd w:val="clear" w:color="auto" w:fill="auto"/>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jc w:val="center"/>
              <w:textAlignment w:val="auto"/>
              <w:rPr>
                <w:rFonts w:hint="eastAsia"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□通过</w:t>
            </w:r>
          </w:p>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jc w:val="center"/>
              <w:textAlignment w:val="auto"/>
              <w:rPr>
                <w:rFonts w:hint="eastAsia" w:ascii="宋体" w:hAnsi="宋体" w:cs="宋体"/>
                <w:color w:val="auto"/>
                <w:sz w:val="21"/>
                <w:szCs w:val="20"/>
                <w:highlight w:val="none"/>
                <w:lang w:val="en-US" w:bidi="ar-SA"/>
              </w:rPr>
            </w:pPr>
            <w:r>
              <w:rPr>
                <w:rFonts w:hint="eastAsia" w:ascii="宋体" w:hAnsi="宋体" w:cs="宋体"/>
                <w:color w:val="auto"/>
                <w:sz w:val="21"/>
                <w:szCs w:val="21"/>
                <w:highlight w:val="none"/>
                <w:lang w:val="en-US" w:bidi="ar-SA"/>
              </w:rPr>
              <w:t>□不通过</w:t>
            </w:r>
          </w:p>
        </w:tc>
        <w:tc>
          <w:tcPr>
            <w:tcW w:w="115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jc w:val="center"/>
              <w:textAlignment w:val="auto"/>
              <w:rPr>
                <w:rFonts w:hint="eastAsia" w:ascii="宋体" w:hAnsi="宋体" w:cs="宋体"/>
                <w:color w:val="auto"/>
                <w:sz w:val="21"/>
                <w:szCs w:val="20"/>
                <w:highlight w:val="none"/>
                <w:lang w:val="en-US" w:bidi="ar-SA"/>
              </w:rPr>
            </w:pPr>
            <w:r>
              <w:rPr>
                <w:rFonts w:hint="eastAsia" w:ascii="宋体" w:hAnsi="宋体" w:cs="宋体"/>
                <w:color w:val="auto"/>
                <w:sz w:val="21"/>
                <w:szCs w:val="21"/>
                <w:highlight w:val="none"/>
                <w:lang w:val="en-US" w:bidi="ar-SA"/>
              </w:rPr>
              <w:t>见响应文件第（）页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57" w:hRule="atLeast"/>
        </w:trPr>
        <w:tc>
          <w:tcPr>
            <w:tcW w:w="7673" w:type="dxa"/>
            <w:gridSpan w:val="2"/>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jc w:val="center"/>
              <w:textAlignment w:val="auto"/>
              <w:rPr>
                <w:rFonts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结论</w:t>
            </w:r>
          </w:p>
        </w:tc>
        <w:tc>
          <w:tcPr>
            <w:tcW w:w="1033" w:type="dxa"/>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jc w:val="center"/>
              <w:textAlignment w:val="auto"/>
              <w:rPr>
                <w:rFonts w:ascii="宋体" w:hAnsi="宋体" w:cs="宋体"/>
                <w:color w:val="auto"/>
                <w:sz w:val="21"/>
                <w:szCs w:val="20"/>
                <w:highlight w:val="none"/>
                <w:lang w:val="en-US" w:bidi="ar-SA"/>
              </w:rPr>
            </w:pPr>
          </w:p>
        </w:tc>
        <w:tc>
          <w:tcPr>
            <w:tcW w:w="1151" w:type="dxa"/>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jc w:val="left"/>
              <w:textAlignment w:val="auto"/>
              <w:rPr>
                <w:rFonts w:ascii="宋体" w:hAnsi="宋体" w:cs="宋体"/>
                <w:color w:val="auto"/>
                <w:sz w:val="21"/>
                <w:szCs w:val="20"/>
                <w:highlight w:val="none"/>
                <w:lang w:val="en-US"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57" w:hRule="atLeast"/>
        </w:trPr>
        <w:tc>
          <w:tcPr>
            <w:tcW w:w="7673" w:type="dxa"/>
            <w:gridSpan w:val="2"/>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jc w:val="center"/>
              <w:textAlignment w:val="auto"/>
              <w:rPr>
                <w:rFonts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不通过原因说明</w:t>
            </w:r>
          </w:p>
        </w:tc>
        <w:tc>
          <w:tcPr>
            <w:tcW w:w="1033" w:type="dxa"/>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jc w:val="center"/>
              <w:textAlignment w:val="auto"/>
              <w:rPr>
                <w:rFonts w:ascii="宋体" w:hAnsi="宋体" w:cs="宋体"/>
                <w:color w:val="auto"/>
                <w:sz w:val="21"/>
                <w:szCs w:val="20"/>
                <w:highlight w:val="none"/>
                <w:lang w:val="en-US" w:bidi="ar-SA"/>
              </w:rPr>
            </w:pPr>
          </w:p>
        </w:tc>
        <w:tc>
          <w:tcPr>
            <w:tcW w:w="1151" w:type="dxa"/>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jc w:val="left"/>
              <w:textAlignment w:val="auto"/>
              <w:rPr>
                <w:rFonts w:ascii="宋体" w:hAnsi="宋体" w:cs="宋体"/>
                <w:color w:val="auto"/>
                <w:sz w:val="21"/>
                <w:szCs w:val="20"/>
                <w:highlight w:val="none"/>
                <w:lang w:val="en-US" w:bidi="ar-SA"/>
              </w:rPr>
            </w:pPr>
          </w:p>
        </w:tc>
      </w:tr>
    </w:tbl>
    <w:p>
      <w:pPr>
        <w:widowControl w:val="0"/>
        <w:spacing w:after="120" w:line="240" w:lineRule="auto"/>
        <w:ind w:right="-282" w:rightChars="-128"/>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GB" w:eastAsia="zh-CN" w:bidi="ar-SA"/>
        </w:rPr>
        <w:t>说明</w:t>
      </w:r>
      <w:r>
        <w:rPr>
          <w:rFonts w:hint="eastAsia" w:ascii="宋体" w:hAnsi="宋体" w:eastAsia="宋体" w:cs="宋体"/>
          <w:color w:val="auto"/>
          <w:kern w:val="2"/>
          <w:sz w:val="21"/>
          <w:szCs w:val="21"/>
          <w:highlight w:val="none"/>
          <w:lang w:val="en-US" w:eastAsia="zh-CN" w:bidi="ar-SA"/>
        </w:rPr>
        <w:t>：以上材料将作为投标人合格性和有效性审核的重要内容之一，投标人必须严格按照其内容及序列要求在投标文件中对应如实提供，对缺漏和不符合项将会直接导致无效投标！在对应的□打“√”。</w:t>
      </w:r>
    </w:p>
    <w:p>
      <w:pPr>
        <w:widowControl/>
        <w:autoSpaceDE/>
        <w:autoSpaceDN/>
        <w:adjustRightInd w:val="0"/>
        <w:snapToGrid w:val="0"/>
        <w:spacing w:before="0" w:after="0" w:line="240" w:lineRule="auto"/>
        <w:ind w:left="0" w:right="0"/>
        <w:jc w:val="left"/>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投标人代表签字或签章：</w:t>
      </w:r>
    </w:p>
    <w:p>
      <w:pPr>
        <w:widowControl/>
        <w:autoSpaceDE/>
        <w:autoSpaceDN/>
        <w:adjustRightInd w:val="0"/>
        <w:snapToGrid w:val="0"/>
        <w:spacing w:before="0" w:after="0" w:line="240" w:lineRule="auto"/>
        <w:ind w:left="0" w:right="0"/>
        <w:jc w:val="left"/>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投标人名称（加盖公章）：</w:t>
      </w:r>
    </w:p>
    <w:p>
      <w:pPr>
        <w:widowControl/>
        <w:autoSpaceDE/>
        <w:autoSpaceDN/>
        <w:adjustRightInd w:val="0"/>
        <w:snapToGrid w:val="0"/>
        <w:spacing w:before="0" w:after="0" w:line="240" w:lineRule="auto"/>
        <w:ind w:left="0" w:right="0"/>
        <w:jc w:val="left"/>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日期：</w:t>
      </w:r>
      <w:r>
        <w:rPr>
          <w:rFonts w:hint="eastAsia" w:cs="宋体"/>
          <w:color w:val="auto"/>
          <w:sz w:val="21"/>
          <w:szCs w:val="21"/>
          <w:highlight w:val="none"/>
          <w:lang w:val="en-US" w:eastAsia="zh-CN" w:bidi="ar-SA"/>
        </w:rPr>
        <w:t xml:space="preserve">    </w:t>
      </w:r>
      <w:r>
        <w:rPr>
          <w:rFonts w:hint="eastAsia" w:ascii="宋体" w:hAnsi="宋体" w:cs="宋体"/>
          <w:color w:val="auto"/>
          <w:sz w:val="21"/>
          <w:szCs w:val="21"/>
          <w:highlight w:val="none"/>
          <w:lang w:val="en-US" w:bidi="ar-SA"/>
        </w:rPr>
        <w:t xml:space="preserve">年 </w:t>
      </w:r>
      <w:r>
        <w:rPr>
          <w:rFonts w:hint="eastAsia" w:cs="宋体"/>
          <w:color w:val="auto"/>
          <w:sz w:val="21"/>
          <w:szCs w:val="21"/>
          <w:highlight w:val="none"/>
          <w:lang w:val="en-US" w:eastAsia="zh-CN" w:bidi="ar-SA"/>
        </w:rPr>
        <w:t xml:space="preserve"> </w:t>
      </w:r>
      <w:r>
        <w:rPr>
          <w:rFonts w:hint="eastAsia" w:ascii="宋体" w:hAnsi="宋体" w:cs="宋体"/>
          <w:color w:val="auto"/>
          <w:sz w:val="21"/>
          <w:szCs w:val="21"/>
          <w:highlight w:val="none"/>
          <w:lang w:val="en-US" w:bidi="ar-SA"/>
        </w:rPr>
        <w:t xml:space="preserve">月 </w:t>
      </w:r>
      <w:r>
        <w:rPr>
          <w:rFonts w:hint="eastAsia" w:cs="宋体"/>
          <w:color w:val="auto"/>
          <w:sz w:val="21"/>
          <w:szCs w:val="21"/>
          <w:highlight w:val="none"/>
          <w:lang w:val="en-US" w:eastAsia="zh-CN" w:bidi="ar-SA"/>
        </w:rPr>
        <w:t xml:space="preserve"> </w:t>
      </w:r>
      <w:r>
        <w:rPr>
          <w:rFonts w:hint="eastAsia" w:ascii="宋体" w:hAnsi="宋体" w:cs="宋体"/>
          <w:color w:val="auto"/>
          <w:sz w:val="21"/>
          <w:szCs w:val="21"/>
          <w:highlight w:val="none"/>
          <w:lang w:val="en-US" w:bidi="ar-SA"/>
        </w:rPr>
        <w:t>日</w:t>
      </w:r>
    </w:p>
    <w:p>
      <w:pPr>
        <w:rPr>
          <w:rFonts w:ascii="宋体" w:hAnsi="宋体" w:cs="宋体"/>
          <w:color w:val="auto"/>
          <w:sz w:val="21"/>
          <w:szCs w:val="21"/>
          <w:highlight w:val="none"/>
          <w:lang w:val="en-US" w:bidi="ar-SA"/>
        </w:rPr>
      </w:pPr>
      <w:r>
        <w:rPr>
          <w:rFonts w:ascii="宋体" w:hAnsi="宋体" w:cs="宋体"/>
          <w:color w:val="auto"/>
          <w:sz w:val="21"/>
          <w:szCs w:val="21"/>
          <w:highlight w:val="none"/>
          <w:lang w:val="en-US" w:bidi="ar-SA"/>
        </w:rPr>
        <w:br w:type="page"/>
      </w:r>
    </w:p>
    <w:p>
      <w:pPr>
        <w:widowControl/>
        <w:autoSpaceDE/>
        <w:autoSpaceDN/>
        <w:spacing w:before="0" w:after="0" w:line="240" w:lineRule="auto"/>
        <w:ind w:left="0" w:right="0"/>
        <w:jc w:val="center"/>
        <w:rPr>
          <w:rFonts w:ascii="宋体" w:hAnsi="宋体" w:cs="宋体"/>
          <w:b/>
          <w:color w:val="auto"/>
          <w:sz w:val="24"/>
          <w:szCs w:val="24"/>
          <w:highlight w:val="none"/>
          <w:lang w:val="en-US" w:bidi="ar-SA"/>
        </w:rPr>
      </w:pPr>
      <w:bookmarkStart w:id="36" w:name="_Toc2764"/>
      <w:bookmarkStart w:id="37" w:name="_Toc4173"/>
      <w:r>
        <w:rPr>
          <w:rFonts w:hint="eastAsia" w:ascii="宋体" w:hAnsi="宋体" w:cs="宋体"/>
          <w:b/>
          <w:color w:val="auto"/>
          <w:sz w:val="24"/>
          <w:szCs w:val="24"/>
          <w:highlight w:val="none"/>
          <w:lang w:val="en-US" w:bidi="ar-SA"/>
        </w:rPr>
        <w:t>1.</w:t>
      </w:r>
      <w:r>
        <w:rPr>
          <w:rFonts w:ascii="宋体" w:hAnsi="宋体" w:cs="宋体"/>
          <w:b/>
          <w:color w:val="auto"/>
          <w:sz w:val="24"/>
          <w:szCs w:val="24"/>
          <w:highlight w:val="none"/>
          <w:lang w:val="en-US" w:bidi="ar-SA"/>
        </w:rPr>
        <w:t>2</w:t>
      </w:r>
      <w:r>
        <w:rPr>
          <w:rFonts w:hint="eastAsia" w:ascii="宋体" w:hAnsi="宋体" w:cs="宋体"/>
          <w:b/>
          <w:color w:val="auto"/>
          <w:sz w:val="24"/>
          <w:szCs w:val="24"/>
          <w:highlight w:val="none"/>
          <w:lang w:val="en-US" w:bidi="ar-SA"/>
        </w:rPr>
        <w:t>技术商务部分评审自查表</w:t>
      </w:r>
      <w:bookmarkEnd w:id="36"/>
      <w:bookmarkEnd w:id="37"/>
    </w:p>
    <w:tbl>
      <w:tblPr>
        <w:tblStyle w:val="16"/>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5040"/>
        <w:gridCol w:w="2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94" w:type="dxa"/>
            <w:vAlign w:val="center"/>
          </w:tcPr>
          <w:p>
            <w:pPr>
              <w:widowControl/>
              <w:autoSpaceDE/>
              <w:autoSpaceDN/>
              <w:spacing w:before="0" w:after="0" w:line="240" w:lineRule="auto"/>
              <w:ind w:left="0" w:right="0"/>
              <w:jc w:val="center"/>
              <w:rPr>
                <w:rFonts w:ascii="宋体" w:hAnsi="宋体" w:cs="宋体"/>
                <w:b/>
                <w:color w:val="auto"/>
                <w:sz w:val="21"/>
                <w:szCs w:val="21"/>
                <w:highlight w:val="none"/>
                <w:lang w:val="en-US" w:bidi="ar-SA"/>
              </w:rPr>
            </w:pPr>
            <w:r>
              <w:rPr>
                <w:rFonts w:hint="eastAsia" w:ascii="宋体" w:hAnsi="宋体" w:cs="宋体"/>
                <w:b/>
                <w:color w:val="auto"/>
                <w:sz w:val="21"/>
                <w:szCs w:val="21"/>
                <w:highlight w:val="none"/>
                <w:lang w:val="en-US" w:bidi="ar-SA"/>
              </w:rPr>
              <w:t>序号</w:t>
            </w:r>
          </w:p>
        </w:tc>
        <w:tc>
          <w:tcPr>
            <w:tcW w:w="5040" w:type="dxa"/>
            <w:vAlign w:val="center"/>
          </w:tcPr>
          <w:p>
            <w:pPr>
              <w:widowControl/>
              <w:autoSpaceDE/>
              <w:autoSpaceDN/>
              <w:spacing w:before="0" w:after="0" w:line="240" w:lineRule="auto"/>
              <w:ind w:left="0" w:right="0"/>
              <w:jc w:val="center"/>
              <w:rPr>
                <w:rFonts w:ascii="宋体" w:hAnsi="宋体" w:cs="宋体"/>
                <w:b/>
                <w:color w:val="auto"/>
                <w:sz w:val="21"/>
                <w:szCs w:val="21"/>
                <w:highlight w:val="none"/>
                <w:lang w:val="en-US" w:bidi="ar-SA"/>
              </w:rPr>
            </w:pPr>
            <w:r>
              <w:rPr>
                <w:rFonts w:hint="eastAsia" w:ascii="宋体" w:hAnsi="宋体" w:cs="宋体"/>
                <w:b/>
                <w:color w:val="auto"/>
                <w:sz w:val="21"/>
                <w:szCs w:val="21"/>
                <w:highlight w:val="none"/>
                <w:lang w:val="en-US" w:bidi="ar-SA"/>
              </w:rPr>
              <w:t>评审内容</w:t>
            </w:r>
          </w:p>
        </w:tc>
        <w:tc>
          <w:tcPr>
            <w:tcW w:w="2791" w:type="dxa"/>
            <w:vAlign w:val="center"/>
          </w:tcPr>
          <w:p>
            <w:pPr>
              <w:widowControl/>
              <w:autoSpaceDE/>
              <w:autoSpaceDN/>
              <w:spacing w:before="0" w:after="0" w:line="240" w:lineRule="auto"/>
              <w:ind w:left="0" w:right="0"/>
              <w:jc w:val="center"/>
              <w:rPr>
                <w:rFonts w:ascii="宋体" w:hAnsi="宋体" w:cs="宋体"/>
                <w:b/>
                <w:color w:val="auto"/>
                <w:sz w:val="21"/>
                <w:szCs w:val="21"/>
                <w:highlight w:val="none"/>
                <w:lang w:val="en-US" w:bidi="ar-SA"/>
              </w:rPr>
            </w:pPr>
            <w:r>
              <w:rPr>
                <w:rFonts w:hint="eastAsia" w:ascii="宋体" w:hAnsi="宋体" w:cs="宋体"/>
                <w:b/>
                <w:color w:val="auto"/>
                <w:sz w:val="21"/>
                <w:szCs w:val="21"/>
                <w:highlight w:val="none"/>
                <w:lang w:val="en-US" w:bidi="ar-SA"/>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94" w:type="dxa"/>
            <w:vAlign w:val="center"/>
          </w:tcPr>
          <w:p>
            <w:pPr>
              <w:widowControl/>
              <w:autoSpaceDE/>
              <w:autoSpaceDN/>
              <w:spacing w:before="0" w:after="0" w:line="240" w:lineRule="auto"/>
              <w:ind w:left="0" w:right="0"/>
              <w:jc w:val="center"/>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1</w:t>
            </w:r>
          </w:p>
        </w:tc>
        <w:tc>
          <w:tcPr>
            <w:tcW w:w="5040" w:type="dxa"/>
            <w:vAlign w:val="center"/>
          </w:tcPr>
          <w:p>
            <w:pPr>
              <w:tabs>
                <w:tab w:val="left" w:pos="420"/>
                <w:tab w:val="center" w:pos="4153"/>
                <w:tab w:val="right" w:pos="8306"/>
              </w:tabs>
              <w:snapToGrid w:val="0"/>
              <w:spacing w:line="360" w:lineRule="auto"/>
              <w:ind w:firstLine="315" w:firstLineChars="150"/>
              <w:jc w:val="center"/>
              <w:rPr>
                <w:rFonts w:ascii="宋体" w:hAnsi="宋体" w:eastAsia="宋体" w:cs="宋体"/>
                <w:color w:val="auto"/>
                <w:sz w:val="21"/>
                <w:szCs w:val="21"/>
                <w:highlight w:val="none"/>
                <w:lang w:val="en-US" w:eastAsia="zh-CN" w:bidi="ar-SA"/>
              </w:rPr>
            </w:pPr>
          </w:p>
        </w:tc>
        <w:tc>
          <w:tcPr>
            <w:tcW w:w="2791" w:type="dxa"/>
            <w:vAlign w:val="center"/>
          </w:tcPr>
          <w:p>
            <w:pPr>
              <w:widowControl/>
              <w:autoSpaceDE/>
              <w:autoSpaceDN/>
              <w:spacing w:before="0" w:after="0" w:line="240" w:lineRule="auto"/>
              <w:ind w:left="0" w:right="0"/>
              <w:jc w:val="center"/>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94" w:type="dxa"/>
            <w:vAlign w:val="center"/>
          </w:tcPr>
          <w:p>
            <w:pPr>
              <w:widowControl/>
              <w:autoSpaceDE/>
              <w:autoSpaceDN/>
              <w:spacing w:before="0" w:after="0" w:line="240" w:lineRule="auto"/>
              <w:ind w:left="0" w:right="0"/>
              <w:jc w:val="center"/>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2</w:t>
            </w:r>
          </w:p>
        </w:tc>
        <w:tc>
          <w:tcPr>
            <w:tcW w:w="5040" w:type="dxa"/>
            <w:vAlign w:val="center"/>
          </w:tcPr>
          <w:p>
            <w:pPr>
              <w:widowControl/>
              <w:autoSpaceDE/>
              <w:autoSpaceDN/>
              <w:spacing w:before="0" w:after="0" w:line="360" w:lineRule="auto"/>
              <w:ind w:left="0" w:right="0"/>
              <w:jc w:val="center"/>
              <w:rPr>
                <w:rFonts w:ascii="宋体" w:hAnsi="宋体" w:cs="宋体"/>
                <w:color w:val="auto"/>
                <w:sz w:val="21"/>
                <w:szCs w:val="21"/>
                <w:highlight w:val="none"/>
                <w:lang w:val="en-US" w:bidi="ar-SA"/>
              </w:rPr>
            </w:pPr>
          </w:p>
        </w:tc>
        <w:tc>
          <w:tcPr>
            <w:tcW w:w="2791" w:type="dxa"/>
            <w:vAlign w:val="center"/>
          </w:tcPr>
          <w:p>
            <w:pPr>
              <w:widowControl/>
              <w:autoSpaceDE/>
              <w:autoSpaceDN/>
              <w:spacing w:before="0" w:after="0" w:line="240" w:lineRule="auto"/>
              <w:ind w:left="0" w:right="0"/>
              <w:jc w:val="center"/>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94" w:type="dxa"/>
            <w:vAlign w:val="center"/>
          </w:tcPr>
          <w:p>
            <w:pPr>
              <w:widowControl/>
              <w:autoSpaceDE/>
              <w:autoSpaceDN/>
              <w:spacing w:before="0" w:after="0" w:line="240" w:lineRule="auto"/>
              <w:ind w:left="0" w:right="0"/>
              <w:jc w:val="center"/>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3</w:t>
            </w:r>
          </w:p>
        </w:tc>
        <w:tc>
          <w:tcPr>
            <w:tcW w:w="5040" w:type="dxa"/>
            <w:vAlign w:val="center"/>
          </w:tcPr>
          <w:p>
            <w:pPr>
              <w:widowControl/>
              <w:autoSpaceDE/>
              <w:autoSpaceDN/>
              <w:spacing w:before="0" w:after="0" w:line="360" w:lineRule="auto"/>
              <w:ind w:left="0" w:right="0"/>
              <w:jc w:val="center"/>
              <w:rPr>
                <w:rFonts w:ascii="宋体" w:hAnsi="宋体" w:cs="宋体"/>
                <w:color w:val="auto"/>
                <w:sz w:val="21"/>
                <w:szCs w:val="21"/>
                <w:highlight w:val="none"/>
                <w:lang w:val="en-US" w:bidi="ar-SA"/>
              </w:rPr>
            </w:pPr>
          </w:p>
        </w:tc>
        <w:tc>
          <w:tcPr>
            <w:tcW w:w="2791" w:type="dxa"/>
            <w:vAlign w:val="center"/>
          </w:tcPr>
          <w:p>
            <w:pPr>
              <w:widowControl/>
              <w:autoSpaceDE/>
              <w:autoSpaceDN/>
              <w:spacing w:before="0" w:after="0" w:line="240" w:lineRule="auto"/>
              <w:ind w:left="0" w:right="0"/>
              <w:jc w:val="center"/>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94" w:type="dxa"/>
            <w:vAlign w:val="center"/>
          </w:tcPr>
          <w:p>
            <w:pPr>
              <w:widowControl/>
              <w:autoSpaceDE/>
              <w:autoSpaceDN/>
              <w:spacing w:before="0" w:after="0" w:line="240" w:lineRule="auto"/>
              <w:ind w:left="0" w:right="0"/>
              <w:jc w:val="center"/>
              <w:rPr>
                <w:rFonts w:hint="default" w:ascii="宋体" w:hAnsi="宋体" w:eastAsia="宋体" w:cs="宋体"/>
                <w:color w:val="auto"/>
                <w:sz w:val="21"/>
                <w:szCs w:val="21"/>
                <w:highlight w:val="none"/>
                <w:lang w:val="en-US" w:eastAsia="zh-CN" w:bidi="ar-SA"/>
              </w:rPr>
            </w:pPr>
            <w:r>
              <w:rPr>
                <w:rFonts w:hint="eastAsia" w:cs="宋体"/>
                <w:color w:val="auto"/>
                <w:sz w:val="21"/>
                <w:szCs w:val="21"/>
                <w:highlight w:val="none"/>
                <w:lang w:val="en-US" w:eastAsia="zh-CN" w:bidi="ar-SA"/>
              </w:rPr>
              <w:t>4</w:t>
            </w:r>
          </w:p>
        </w:tc>
        <w:tc>
          <w:tcPr>
            <w:tcW w:w="5040" w:type="dxa"/>
            <w:vAlign w:val="center"/>
          </w:tcPr>
          <w:p>
            <w:pPr>
              <w:widowControl/>
              <w:autoSpaceDE/>
              <w:autoSpaceDN/>
              <w:spacing w:before="0" w:after="0" w:line="360" w:lineRule="auto"/>
              <w:ind w:left="0" w:right="0"/>
              <w:jc w:val="center"/>
              <w:rPr>
                <w:rFonts w:hint="eastAsia" w:ascii="宋体" w:hAnsi="宋体" w:cs="宋体"/>
                <w:color w:val="auto"/>
                <w:sz w:val="21"/>
                <w:szCs w:val="21"/>
                <w:highlight w:val="none"/>
                <w:lang w:val="en-US" w:bidi="ar-SA"/>
              </w:rPr>
            </w:pPr>
          </w:p>
        </w:tc>
        <w:tc>
          <w:tcPr>
            <w:tcW w:w="2791" w:type="dxa"/>
            <w:vAlign w:val="center"/>
          </w:tcPr>
          <w:p>
            <w:pPr>
              <w:widowControl/>
              <w:autoSpaceDE/>
              <w:autoSpaceDN/>
              <w:spacing w:before="0" w:after="0" w:line="240" w:lineRule="auto"/>
              <w:ind w:left="0" w:right="0"/>
              <w:jc w:val="center"/>
              <w:rPr>
                <w:rFonts w:hint="eastAsia"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94" w:type="dxa"/>
            <w:vAlign w:val="center"/>
          </w:tcPr>
          <w:p>
            <w:pPr>
              <w:widowControl/>
              <w:autoSpaceDE/>
              <w:autoSpaceDN/>
              <w:spacing w:before="0" w:after="0" w:line="240" w:lineRule="auto"/>
              <w:ind w:left="0" w:right="0"/>
              <w:jc w:val="center"/>
              <w:rPr>
                <w:rFonts w:hint="eastAsia" w:ascii="宋体" w:hAnsi="宋体" w:eastAsia="宋体" w:cs="宋体"/>
                <w:color w:val="auto"/>
                <w:sz w:val="21"/>
                <w:szCs w:val="21"/>
                <w:highlight w:val="none"/>
                <w:lang w:val="en-US" w:eastAsia="zh-CN" w:bidi="ar-SA"/>
              </w:rPr>
            </w:pPr>
            <w:r>
              <w:rPr>
                <w:rFonts w:hint="eastAsia" w:cs="宋体"/>
                <w:color w:val="auto"/>
                <w:sz w:val="21"/>
                <w:szCs w:val="21"/>
                <w:highlight w:val="none"/>
                <w:lang w:val="en-US" w:eastAsia="zh-CN" w:bidi="ar-SA"/>
              </w:rPr>
              <w:t>5</w:t>
            </w:r>
          </w:p>
        </w:tc>
        <w:tc>
          <w:tcPr>
            <w:tcW w:w="5040" w:type="dxa"/>
            <w:vAlign w:val="center"/>
          </w:tcPr>
          <w:p>
            <w:pPr>
              <w:widowControl/>
              <w:autoSpaceDE/>
              <w:autoSpaceDN/>
              <w:spacing w:before="0" w:after="0" w:line="360" w:lineRule="auto"/>
              <w:ind w:left="0" w:right="0"/>
              <w:jc w:val="center"/>
              <w:rPr>
                <w:rFonts w:hint="eastAsia" w:ascii="宋体" w:hAnsi="宋体" w:cs="宋体"/>
                <w:color w:val="auto"/>
                <w:sz w:val="21"/>
                <w:szCs w:val="21"/>
                <w:highlight w:val="none"/>
                <w:lang w:val="en-US" w:bidi="ar-SA"/>
              </w:rPr>
            </w:pPr>
          </w:p>
        </w:tc>
        <w:tc>
          <w:tcPr>
            <w:tcW w:w="2791" w:type="dxa"/>
            <w:vAlign w:val="center"/>
          </w:tcPr>
          <w:p>
            <w:pPr>
              <w:widowControl/>
              <w:autoSpaceDE/>
              <w:autoSpaceDN/>
              <w:spacing w:before="0" w:after="0" w:line="240" w:lineRule="auto"/>
              <w:ind w:left="0" w:right="0"/>
              <w:jc w:val="center"/>
              <w:rPr>
                <w:rFonts w:hint="eastAsia"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94" w:type="dxa"/>
            <w:vAlign w:val="center"/>
          </w:tcPr>
          <w:p>
            <w:pPr>
              <w:widowControl/>
              <w:autoSpaceDE/>
              <w:autoSpaceDN/>
              <w:spacing w:before="0" w:after="0" w:line="240" w:lineRule="auto"/>
              <w:ind w:left="0" w:right="0"/>
              <w:jc w:val="center"/>
              <w:rPr>
                <w:rFonts w:hint="eastAsia" w:ascii="宋体" w:hAnsi="宋体" w:eastAsia="宋体" w:cs="宋体"/>
                <w:color w:val="auto"/>
                <w:sz w:val="21"/>
                <w:szCs w:val="21"/>
                <w:highlight w:val="none"/>
                <w:lang w:val="en-US" w:eastAsia="zh-CN" w:bidi="ar-SA"/>
              </w:rPr>
            </w:pPr>
            <w:r>
              <w:rPr>
                <w:rFonts w:hint="eastAsia" w:cs="宋体"/>
                <w:color w:val="auto"/>
                <w:sz w:val="21"/>
                <w:szCs w:val="21"/>
                <w:highlight w:val="none"/>
                <w:lang w:val="en-US" w:eastAsia="zh-CN" w:bidi="ar-SA"/>
              </w:rPr>
              <w:t>6</w:t>
            </w:r>
          </w:p>
        </w:tc>
        <w:tc>
          <w:tcPr>
            <w:tcW w:w="5040" w:type="dxa"/>
            <w:vAlign w:val="center"/>
          </w:tcPr>
          <w:p>
            <w:pPr>
              <w:widowControl/>
              <w:autoSpaceDE/>
              <w:autoSpaceDN/>
              <w:spacing w:before="0" w:after="0" w:line="360" w:lineRule="auto"/>
              <w:ind w:left="0" w:right="0"/>
              <w:jc w:val="center"/>
              <w:rPr>
                <w:rFonts w:hint="eastAsia" w:ascii="宋体" w:hAnsi="宋体" w:cs="宋体"/>
                <w:color w:val="auto"/>
                <w:sz w:val="21"/>
                <w:szCs w:val="21"/>
                <w:highlight w:val="none"/>
                <w:lang w:val="en-US" w:bidi="ar-SA"/>
              </w:rPr>
            </w:pPr>
          </w:p>
        </w:tc>
        <w:tc>
          <w:tcPr>
            <w:tcW w:w="2791" w:type="dxa"/>
            <w:vAlign w:val="center"/>
          </w:tcPr>
          <w:p>
            <w:pPr>
              <w:widowControl/>
              <w:autoSpaceDE/>
              <w:autoSpaceDN/>
              <w:spacing w:before="0" w:after="0" w:line="240" w:lineRule="auto"/>
              <w:ind w:left="0" w:right="0"/>
              <w:jc w:val="center"/>
              <w:rPr>
                <w:rFonts w:hint="eastAsia"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94" w:type="dxa"/>
            <w:vAlign w:val="center"/>
          </w:tcPr>
          <w:p>
            <w:pPr>
              <w:widowControl/>
              <w:autoSpaceDE/>
              <w:autoSpaceDN/>
              <w:spacing w:before="0" w:after="0" w:line="240" w:lineRule="auto"/>
              <w:ind w:left="0" w:right="0"/>
              <w:jc w:val="center"/>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w:t>
            </w:r>
          </w:p>
        </w:tc>
        <w:tc>
          <w:tcPr>
            <w:tcW w:w="5040" w:type="dxa"/>
            <w:vAlign w:val="center"/>
          </w:tcPr>
          <w:p>
            <w:pPr>
              <w:widowControl/>
              <w:autoSpaceDE/>
              <w:autoSpaceDN/>
              <w:spacing w:before="0" w:after="0" w:line="360" w:lineRule="auto"/>
              <w:ind w:left="0" w:right="0"/>
              <w:jc w:val="center"/>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w:t>
            </w:r>
          </w:p>
        </w:tc>
        <w:tc>
          <w:tcPr>
            <w:tcW w:w="2791" w:type="dxa"/>
            <w:vAlign w:val="center"/>
          </w:tcPr>
          <w:p>
            <w:pPr>
              <w:widowControl/>
              <w:autoSpaceDE/>
              <w:autoSpaceDN/>
              <w:spacing w:before="0" w:after="0" w:line="240" w:lineRule="auto"/>
              <w:ind w:left="0" w:right="0"/>
              <w:jc w:val="center"/>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w:t>
            </w:r>
          </w:p>
        </w:tc>
      </w:tr>
    </w:tbl>
    <w:p>
      <w:pPr>
        <w:widowControl w:val="0"/>
        <w:spacing w:after="0" w:line="360" w:lineRule="auto"/>
        <w:ind w:left="424" w:hanging="424" w:hangingChars="202"/>
        <w:jc w:val="both"/>
        <w:rPr>
          <w:rFonts w:ascii="宋体" w:hAnsi="宋体" w:eastAsia="宋体" w:cs="宋体"/>
          <w:color w:val="auto"/>
          <w:kern w:val="2"/>
          <w:sz w:val="21"/>
          <w:szCs w:val="21"/>
          <w:highlight w:val="none"/>
          <w:lang w:val="en-GB" w:eastAsia="zh-CN" w:bidi="ar-SA"/>
        </w:rPr>
      </w:pPr>
    </w:p>
    <w:p>
      <w:pPr>
        <w:widowControl/>
        <w:autoSpaceDE/>
        <w:autoSpaceDN/>
        <w:spacing w:before="0" w:after="0" w:line="240" w:lineRule="auto"/>
        <w:ind w:left="0" w:right="0"/>
        <w:jc w:val="left"/>
        <w:rPr>
          <w:rFonts w:ascii="宋体" w:hAnsi="宋体" w:cs="宋体"/>
          <w:color w:val="auto"/>
          <w:sz w:val="21"/>
          <w:szCs w:val="21"/>
          <w:highlight w:val="none"/>
          <w:lang w:val="en-GB" w:bidi="ar-SA"/>
        </w:rPr>
      </w:pPr>
      <w:r>
        <w:rPr>
          <w:rFonts w:hint="eastAsia" w:ascii="宋体" w:hAnsi="宋体" w:cs="宋体"/>
          <w:color w:val="auto"/>
          <w:sz w:val="21"/>
          <w:szCs w:val="21"/>
          <w:highlight w:val="none"/>
          <w:lang w:val="en-US" w:bidi="ar-SA"/>
        </w:rPr>
        <w:t>说明</w:t>
      </w:r>
      <w:r>
        <w:rPr>
          <w:rFonts w:hint="eastAsia" w:ascii="宋体" w:hAnsi="宋体" w:cs="宋体"/>
          <w:color w:val="auto"/>
          <w:sz w:val="21"/>
          <w:szCs w:val="21"/>
          <w:highlight w:val="none"/>
          <w:lang w:val="en-GB" w:bidi="ar-SA"/>
        </w:rPr>
        <w:t>：</w:t>
      </w:r>
      <w:r>
        <w:rPr>
          <w:rFonts w:hint="eastAsia" w:ascii="宋体" w:hAnsi="宋体" w:cs="宋体"/>
          <w:color w:val="auto"/>
          <w:sz w:val="21"/>
          <w:szCs w:val="21"/>
          <w:highlight w:val="none"/>
          <w:lang w:val="en-US" w:bidi="ar-SA"/>
        </w:rPr>
        <w:t>投标人应根据《技术商务评分细则》的各项内容填写此表</w:t>
      </w:r>
      <w:r>
        <w:rPr>
          <w:rFonts w:hint="eastAsia" w:ascii="宋体" w:hAnsi="宋体" w:cs="宋体"/>
          <w:color w:val="auto"/>
          <w:sz w:val="21"/>
          <w:szCs w:val="21"/>
          <w:highlight w:val="none"/>
          <w:lang w:val="en-GB" w:bidi="ar-SA"/>
        </w:rPr>
        <w:t>。</w:t>
      </w:r>
    </w:p>
    <w:p>
      <w:pPr>
        <w:widowControl w:val="0"/>
        <w:spacing w:after="0" w:line="360" w:lineRule="auto"/>
        <w:jc w:val="both"/>
        <w:rPr>
          <w:rFonts w:ascii="宋体" w:hAnsi="宋体" w:eastAsia="宋体" w:cs="宋体"/>
          <w:color w:val="auto"/>
          <w:kern w:val="2"/>
          <w:sz w:val="21"/>
          <w:szCs w:val="21"/>
          <w:highlight w:val="none"/>
          <w:lang w:val="en-GB" w:eastAsia="zh-CN" w:bidi="ar-SA"/>
        </w:rPr>
      </w:pPr>
    </w:p>
    <w:p>
      <w:pPr>
        <w:widowControl/>
        <w:autoSpaceDE/>
        <w:autoSpaceDN/>
        <w:adjustRightInd w:val="0"/>
        <w:snapToGrid w:val="0"/>
        <w:spacing w:before="0" w:after="0" w:line="300" w:lineRule="auto"/>
        <w:ind w:left="0" w:right="0"/>
        <w:jc w:val="left"/>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投标人代表签字或签章：</w:t>
      </w:r>
    </w:p>
    <w:p>
      <w:pPr>
        <w:widowControl/>
        <w:autoSpaceDE/>
        <w:autoSpaceDN/>
        <w:adjustRightInd w:val="0"/>
        <w:snapToGrid w:val="0"/>
        <w:spacing w:before="0" w:after="0" w:line="300" w:lineRule="auto"/>
        <w:ind w:left="0" w:right="0"/>
        <w:jc w:val="left"/>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投标人名称（加盖公章）：</w:t>
      </w:r>
    </w:p>
    <w:p>
      <w:pPr>
        <w:widowControl/>
        <w:autoSpaceDE/>
        <w:autoSpaceDN/>
        <w:adjustRightInd w:val="0"/>
        <w:snapToGrid w:val="0"/>
        <w:spacing w:before="0" w:after="0" w:line="300" w:lineRule="auto"/>
        <w:ind w:left="0" w:right="0"/>
        <w:jc w:val="left"/>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日期：</w:t>
      </w:r>
      <w:r>
        <w:rPr>
          <w:rFonts w:hint="eastAsia" w:cs="宋体"/>
          <w:color w:val="auto"/>
          <w:sz w:val="21"/>
          <w:szCs w:val="21"/>
          <w:highlight w:val="none"/>
          <w:lang w:val="en-US" w:eastAsia="zh-CN" w:bidi="ar-SA"/>
        </w:rPr>
        <w:t xml:space="preserve">    </w:t>
      </w:r>
      <w:r>
        <w:rPr>
          <w:rFonts w:hint="eastAsia" w:ascii="宋体" w:hAnsi="宋体" w:cs="宋体"/>
          <w:color w:val="auto"/>
          <w:sz w:val="21"/>
          <w:szCs w:val="21"/>
          <w:highlight w:val="none"/>
          <w:lang w:val="en-US" w:bidi="ar-SA"/>
        </w:rPr>
        <w:t>年</w:t>
      </w:r>
      <w:r>
        <w:rPr>
          <w:rFonts w:hint="eastAsia" w:cs="宋体"/>
          <w:color w:val="auto"/>
          <w:sz w:val="21"/>
          <w:szCs w:val="21"/>
          <w:highlight w:val="none"/>
          <w:lang w:val="en-US" w:eastAsia="zh-CN" w:bidi="ar-SA"/>
        </w:rPr>
        <w:t xml:space="preserve"> </w:t>
      </w:r>
      <w:r>
        <w:rPr>
          <w:rFonts w:hint="eastAsia" w:ascii="宋体" w:hAnsi="宋体" w:cs="宋体"/>
          <w:color w:val="auto"/>
          <w:sz w:val="21"/>
          <w:szCs w:val="21"/>
          <w:highlight w:val="none"/>
          <w:lang w:val="en-US" w:bidi="ar-SA"/>
        </w:rPr>
        <w:t xml:space="preserve"> 月</w:t>
      </w:r>
      <w:r>
        <w:rPr>
          <w:rFonts w:hint="eastAsia" w:cs="宋体"/>
          <w:color w:val="auto"/>
          <w:sz w:val="21"/>
          <w:szCs w:val="21"/>
          <w:highlight w:val="none"/>
          <w:lang w:val="en-US" w:eastAsia="zh-CN" w:bidi="ar-SA"/>
        </w:rPr>
        <w:t xml:space="preserve"> </w:t>
      </w:r>
      <w:r>
        <w:rPr>
          <w:rFonts w:hint="eastAsia" w:ascii="宋体" w:hAnsi="宋体" w:cs="宋体"/>
          <w:color w:val="auto"/>
          <w:sz w:val="21"/>
          <w:szCs w:val="21"/>
          <w:highlight w:val="none"/>
          <w:lang w:val="en-US" w:bidi="ar-SA"/>
        </w:rPr>
        <w:t xml:space="preserve"> 日</w:t>
      </w:r>
    </w:p>
    <w:p>
      <w:pPr>
        <w:rPr>
          <w:rFonts w:ascii="宋体" w:hAnsi="宋体" w:cs="宋体"/>
          <w:color w:val="auto"/>
          <w:sz w:val="21"/>
          <w:szCs w:val="21"/>
          <w:highlight w:val="none"/>
          <w:lang w:val="en-US" w:bidi="ar-SA"/>
        </w:rPr>
        <w:sectPr>
          <w:headerReference r:id="rId6" w:type="default"/>
          <w:footerReference r:id="rId7" w:type="default"/>
          <w:pgSz w:w="11906" w:h="16838"/>
          <w:pgMar w:top="1434" w:right="1474" w:bottom="1434" w:left="1474" w:header="851" w:footer="992" w:gutter="0"/>
          <w:pgNumType w:fmt="decimal"/>
          <w:cols w:space="425" w:num="1"/>
          <w:docGrid w:type="lines" w:linePitch="312" w:charSpace="0"/>
        </w:sectPr>
      </w:pPr>
    </w:p>
    <w:p>
      <w:pPr>
        <w:widowControl/>
        <w:autoSpaceDE/>
        <w:autoSpaceDN/>
        <w:snapToGrid w:val="0"/>
        <w:spacing w:before="0" w:after="0" w:line="240" w:lineRule="auto"/>
        <w:ind w:left="0" w:right="0"/>
        <w:jc w:val="center"/>
        <w:rPr>
          <w:rFonts w:ascii="宋体" w:hAnsi="宋体" w:cs="宋体"/>
          <w:b/>
          <w:color w:val="auto"/>
          <w:sz w:val="24"/>
          <w:szCs w:val="20"/>
          <w:highlight w:val="none"/>
          <w:lang w:val="en-US" w:bidi="ar-SA"/>
        </w:rPr>
      </w:pPr>
      <w:bookmarkStart w:id="38" w:name="_Toc20311"/>
      <w:bookmarkStart w:id="39" w:name="_Toc28037"/>
      <w:r>
        <w:rPr>
          <w:rFonts w:hint="eastAsia" w:ascii="宋体" w:hAnsi="宋体" w:cs="宋体"/>
          <w:b/>
          <w:color w:val="auto"/>
          <w:sz w:val="24"/>
          <w:szCs w:val="24"/>
          <w:highlight w:val="none"/>
          <w:lang w:val="en-US" w:bidi="ar-SA"/>
        </w:rPr>
        <w:t>2.报价表</w:t>
      </w:r>
    </w:p>
    <w:p>
      <w:pPr>
        <w:pBdr>
          <w:bottom w:val="single" w:color="auto" w:sz="6" w:space="1"/>
        </w:pBdr>
        <w:snapToGrid w:val="0"/>
        <w:jc w:val="both"/>
        <w:rPr>
          <w:rFonts w:ascii="宋体" w:hAnsi="宋体" w:eastAsia="宋体" w:cs="Times New Roman"/>
          <w:color w:val="auto"/>
          <w:sz w:val="21"/>
          <w:szCs w:val="21"/>
          <w:highlight w:val="none"/>
          <w:lang w:val="en-US" w:eastAsia="zh-CN" w:bidi="ar-SA"/>
        </w:rPr>
      </w:pPr>
    </w:p>
    <w:p>
      <w:pPr>
        <w:pBdr>
          <w:bottom w:val="single" w:color="auto" w:sz="6" w:space="1"/>
        </w:pBdr>
        <w:snapToGrid w:val="0"/>
        <w:jc w:val="both"/>
        <w:rPr>
          <w:rFonts w:hint="eastAsia"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项目</w:t>
      </w:r>
      <w:r>
        <w:rPr>
          <w:rFonts w:hint="eastAsia" w:ascii="宋体" w:hAnsi="宋体" w:eastAsia="宋体" w:cs="Times New Roman"/>
          <w:color w:val="auto"/>
          <w:sz w:val="21"/>
          <w:szCs w:val="21"/>
          <w:highlight w:val="none"/>
          <w:lang w:val="en-US" w:eastAsia="zh-CN" w:bidi="ar-SA"/>
        </w:rPr>
        <w:t>名称：珠海市香洲区第二人民医院</w:t>
      </w:r>
      <w:r>
        <w:rPr>
          <w:rFonts w:hint="eastAsia" w:cs="Times New Roman"/>
          <w:color w:val="auto"/>
          <w:sz w:val="21"/>
          <w:szCs w:val="21"/>
          <w:highlight w:val="none"/>
          <w:lang w:val="en-US" w:eastAsia="zh-CN" w:bidi="ar-SA"/>
        </w:rPr>
        <w:t>第三方招聘服务年度供应商采购</w:t>
      </w:r>
      <w:r>
        <w:rPr>
          <w:rFonts w:hint="eastAsia" w:ascii="宋体" w:hAnsi="宋体" w:eastAsia="宋体" w:cs="Times New Roman"/>
          <w:color w:val="auto"/>
          <w:sz w:val="21"/>
          <w:szCs w:val="21"/>
          <w:highlight w:val="none"/>
          <w:lang w:val="en-US" w:eastAsia="zh-CN" w:bidi="ar-SA"/>
        </w:rPr>
        <w:t>项目</w:t>
      </w:r>
    </w:p>
    <w:p>
      <w:pPr>
        <w:pBdr>
          <w:bottom w:val="single" w:color="auto" w:sz="6" w:space="1"/>
        </w:pBdr>
        <w:snapToGrid w:val="0"/>
        <w:jc w:val="both"/>
        <w:rPr>
          <w:rFonts w:hint="default" w:ascii="宋体" w:hAnsi="宋体" w:eastAsia="宋体" w:cs="Times New Roman"/>
          <w:color w:val="auto"/>
          <w:sz w:val="21"/>
          <w:szCs w:val="21"/>
          <w:highlight w:val="none"/>
          <w:u w:val="none"/>
          <w:lang w:val="en-US" w:eastAsia="zh-CN" w:bidi="ar-SA"/>
        </w:rPr>
      </w:pPr>
      <w:r>
        <w:rPr>
          <w:rFonts w:hint="eastAsia" w:ascii="宋体" w:hAnsi="宋体" w:eastAsia="宋体" w:cs="Times New Roman"/>
          <w:color w:val="auto"/>
          <w:sz w:val="21"/>
          <w:szCs w:val="21"/>
          <w:highlight w:val="none"/>
          <w:u w:val="none"/>
          <w:lang w:val="en-US" w:eastAsia="zh-CN" w:bidi="ar-SA"/>
        </w:rPr>
        <w:t>项目编号：HQCG202500</w:t>
      </w:r>
      <w:r>
        <w:rPr>
          <w:rFonts w:hint="eastAsia" w:cs="Times New Roman"/>
          <w:color w:val="auto"/>
          <w:sz w:val="21"/>
          <w:szCs w:val="21"/>
          <w:highlight w:val="none"/>
          <w:u w:val="none"/>
          <w:lang w:val="en-US" w:eastAsia="zh-CN" w:bidi="ar-SA"/>
        </w:rPr>
        <w:t>9</w:t>
      </w:r>
    </w:p>
    <w:tbl>
      <w:tblPr>
        <w:tblStyle w:val="16"/>
        <w:tblW w:w="8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2"/>
        <w:gridCol w:w="3110"/>
        <w:gridCol w:w="2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632" w:type="dxa"/>
            <w:tcBorders>
              <w:top w:val="single" w:color="auto" w:sz="4" w:space="0"/>
            </w:tcBorders>
            <w:shd w:val="clear" w:color="auto" w:fill="EEECE1"/>
            <w:noWrap w:val="0"/>
            <w:vAlign w:val="center"/>
          </w:tcPr>
          <w:p>
            <w:pPr>
              <w:snapToGrid w:val="0"/>
              <w:spacing w:line="240" w:lineRule="auto"/>
              <w:ind w:right="-40" w:rightChars="-18"/>
              <w:jc w:val="center"/>
              <w:rPr>
                <w:rFonts w:ascii="宋体" w:hAnsi="宋体" w:cs="宋体"/>
              </w:rPr>
            </w:pPr>
            <w:r>
              <w:rPr>
                <w:rFonts w:hint="eastAsia" w:ascii="宋体" w:hAnsi="宋体" w:cs="宋体"/>
              </w:rPr>
              <w:t>项目名称</w:t>
            </w:r>
          </w:p>
        </w:tc>
        <w:tc>
          <w:tcPr>
            <w:tcW w:w="3110" w:type="dxa"/>
            <w:tcBorders>
              <w:top w:val="single" w:color="auto" w:sz="4" w:space="0"/>
            </w:tcBorders>
            <w:shd w:val="clear" w:color="auto" w:fill="EEECE1"/>
            <w:noWrap w:val="0"/>
            <w:vAlign w:val="center"/>
          </w:tcPr>
          <w:p>
            <w:pPr>
              <w:snapToGrid w:val="0"/>
              <w:spacing w:line="240" w:lineRule="auto"/>
              <w:ind w:right="-40" w:rightChars="-18"/>
              <w:jc w:val="center"/>
              <w:rPr>
                <w:rFonts w:hint="eastAsia" w:ascii="宋体" w:hAnsi="宋体" w:cs="宋体"/>
              </w:rPr>
            </w:pPr>
            <w:r>
              <w:rPr>
                <w:rFonts w:hint="eastAsia" w:ascii="宋体" w:hAnsi="宋体" w:cs="宋体"/>
                <w:lang w:val="en-US" w:eastAsia="zh-CN"/>
              </w:rPr>
              <w:t>投标总价（含税价）</w:t>
            </w:r>
          </w:p>
        </w:tc>
        <w:tc>
          <w:tcPr>
            <w:tcW w:w="2147" w:type="dxa"/>
            <w:tcBorders>
              <w:top w:val="single" w:color="auto" w:sz="4" w:space="0"/>
            </w:tcBorders>
            <w:shd w:val="clear" w:color="auto" w:fill="EEECE1"/>
            <w:noWrap w:val="0"/>
            <w:vAlign w:val="center"/>
          </w:tcPr>
          <w:p>
            <w:pPr>
              <w:snapToGrid w:val="0"/>
              <w:spacing w:line="240" w:lineRule="auto"/>
              <w:ind w:right="-40" w:rightChars="-18"/>
              <w:jc w:val="center"/>
              <w:rPr>
                <w:rFonts w:ascii="宋体" w:hAnsi="宋体" w:cs="宋体"/>
              </w:rPr>
            </w:pPr>
            <w:r>
              <w:rPr>
                <w:rFonts w:hint="eastAsia" w:ascii="宋体" w:hAnsi="宋体" w:cs="宋体"/>
              </w:rPr>
              <w:t>最高</w:t>
            </w:r>
            <w:r>
              <w:rPr>
                <w:rFonts w:hint="eastAsia" w:cs="宋体"/>
                <w:lang w:val="en-US" w:eastAsia="zh-CN"/>
              </w:rPr>
              <w:t>限</w:t>
            </w:r>
            <w:r>
              <w:rPr>
                <w:rFonts w:hint="eastAsia" w:ascii="宋体" w:hAnsi="宋体" w:cs="宋体"/>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3632" w:type="dxa"/>
            <w:noWrap w:val="0"/>
            <w:vAlign w:val="center"/>
          </w:tcPr>
          <w:p>
            <w:pPr>
              <w:spacing w:line="360" w:lineRule="auto"/>
              <w:ind w:left="-99" w:leftChars="-45" w:right="-73" w:rightChars="-33"/>
              <w:jc w:val="center"/>
              <w:rPr>
                <w:rFonts w:hint="eastAsia" w:ascii="宋体" w:hAnsi="宋体" w:eastAsia="宋体" w:cs="宋体"/>
                <w:lang w:eastAsia="zh-CN"/>
              </w:rPr>
            </w:pPr>
            <w:r>
              <w:rPr>
                <w:rFonts w:hint="eastAsia" w:ascii="宋体" w:hAnsi="宋体" w:eastAsia="宋体" w:cs="Times New Roman"/>
                <w:color w:val="auto"/>
                <w:sz w:val="21"/>
                <w:szCs w:val="21"/>
                <w:highlight w:val="none"/>
                <w:lang w:val="en-US" w:eastAsia="zh-CN" w:bidi="ar-SA"/>
              </w:rPr>
              <w:t>珠海市香洲区第二人民医院</w:t>
            </w:r>
            <w:r>
              <w:rPr>
                <w:rFonts w:hint="eastAsia" w:cs="Times New Roman"/>
                <w:color w:val="auto"/>
                <w:sz w:val="21"/>
                <w:szCs w:val="21"/>
                <w:highlight w:val="none"/>
                <w:lang w:val="en-US" w:eastAsia="zh-CN" w:bidi="ar-SA"/>
              </w:rPr>
              <w:t>第三方招聘服务年度供应商采购</w:t>
            </w:r>
            <w:r>
              <w:rPr>
                <w:rFonts w:hint="eastAsia" w:ascii="宋体" w:hAnsi="宋体" w:eastAsia="宋体" w:cs="Times New Roman"/>
                <w:color w:val="auto"/>
                <w:sz w:val="21"/>
                <w:szCs w:val="21"/>
                <w:highlight w:val="none"/>
                <w:lang w:val="en-US" w:eastAsia="zh-CN" w:bidi="ar-SA"/>
              </w:rPr>
              <w:t>项目</w:t>
            </w:r>
          </w:p>
        </w:tc>
        <w:tc>
          <w:tcPr>
            <w:tcW w:w="3110" w:type="dxa"/>
            <w:noWrap w:val="0"/>
            <w:vAlign w:val="center"/>
          </w:tcPr>
          <w:p>
            <w:pPr>
              <w:spacing w:line="360" w:lineRule="auto"/>
              <w:rPr>
                <w:rFonts w:hAnsi="宋体" w:cs="宋体"/>
                <w:u w:val="single"/>
              </w:rPr>
            </w:pPr>
            <w:r>
              <w:rPr>
                <w:rFonts w:hint="eastAsia" w:hAnsi="宋体" w:cs="宋体"/>
                <w:u w:val="single"/>
              </w:rPr>
              <w:t xml:space="preserve">大写：       </w:t>
            </w:r>
            <w:r>
              <w:rPr>
                <w:rFonts w:hint="eastAsia" w:cs="宋体"/>
                <w:u w:val="single"/>
                <w:lang w:val="en-US" w:eastAsia="zh-CN"/>
              </w:rPr>
              <w:t xml:space="preserve">    </w:t>
            </w:r>
            <w:r>
              <w:rPr>
                <w:rFonts w:hint="eastAsia" w:hAnsi="宋体" w:cs="宋体"/>
                <w:u w:val="single"/>
              </w:rPr>
              <w:t xml:space="preserve">    </w:t>
            </w:r>
            <w:r>
              <w:rPr>
                <w:rFonts w:hint="eastAsia" w:ascii="宋体" w:hAnsi="宋体" w:cs="宋体"/>
              </w:rPr>
              <w:t>（元）</w:t>
            </w:r>
          </w:p>
          <w:p>
            <w:pPr>
              <w:spacing w:line="360" w:lineRule="auto"/>
              <w:rPr>
                <w:rFonts w:hint="eastAsia" w:ascii="宋体" w:hAnsi="宋体" w:cs="宋体"/>
              </w:rPr>
            </w:pPr>
            <w:r>
              <w:rPr>
                <w:rFonts w:hint="eastAsia" w:ascii="宋体" w:hAnsi="宋体" w:cs="宋体"/>
                <w:u w:val="single"/>
              </w:rPr>
              <w:t xml:space="preserve">小写：               </w:t>
            </w:r>
            <w:r>
              <w:rPr>
                <w:rFonts w:hint="eastAsia" w:ascii="宋体" w:hAnsi="宋体" w:cs="宋体"/>
              </w:rPr>
              <w:t>（元）</w:t>
            </w:r>
          </w:p>
        </w:tc>
        <w:tc>
          <w:tcPr>
            <w:tcW w:w="2147" w:type="dxa"/>
            <w:noWrap w:val="0"/>
            <w:vAlign w:val="center"/>
          </w:tcPr>
          <w:p>
            <w:pPr>
              <w:spacing w:line="360" w:lineRule="auto"/>
              <w:jc w:val="center"/>
              <w:rPr>
                <w:rFonts w:ascii="宋体" w:hAnsi="宋体" w:cs="宋体"/>
                <w:u w:val="single"/>
              </w:rPr>
            </w:pPr>
            <w:r>
              <w:rPr>
                <w:rFonts w:hint="eastAsia" w:ascii="宋体" w:hAnsi="宋体" w:cs="宋体"/>
                <w:szCs w:val="21"/>
              </w:rPr>
              <w:t>人民币：</w:t>
            </w:r>
            <w:r>
              <w:rPr>
                <w:rFonts w:hint="eastAsia" w:cs="宋体"/>
                <w:szCs w:val="21"/>
                <w:lang w:val="en-US" w:eastAsia="zh-CN"/>
              </w:rPr>
              <w:t>39077.50</w:t>
            </w:r>
            <w:r>
              <w:rPr>
                <w:rFonts w:hint="eastAsia" w:ascii="宋体" w:hAnsi="宋体" w:cs="宋体"/>
                <w:szCs w:val="21"/>
              </w:rPr>
              <w:t>元</w:t>
            </w:r>
          </w:p>
        </w:tc>
      </w:tr>
    </w:tbl>
    <w:p>
      <w:pPr>
        <w:widowControl/>
        <w:autoSpaceDE/>
        <w:autoSpaceDN/>
        <w:spacing w:before="0" w:after="0" w:line="400" w:lineRule="exact"/>
        <w:ind w:left="945" w:right="0" w:hanging="945" w:hangingChars="450"/>
        <w:jc w:val="left"/>
        <w:rPr>
          <w:rFonts w:ascii="宋体" w:hAnsi="宋体" w:cs="宋体"/>
          <w:color w:val="auto"/>
          <w:sz w:val="21"/>
          <w:szCs w:val="20"/>
          <w:highlight w:val="none"/>
          <w:lang w:val="en-US" w:bidi="ar-SA"/>
        </w:rPr>
      </w:pPr>
    </w:p>
    <w:p>
      <w:pPr>
        <w:widowControl/>
        <w:autoSpaceDE/>
        <w:autoSpaceDN/>
        <w:snapToGrid w:val="0"/>
        <w:spacing w:before="0" w:after="0" w:line="240" w:lineRule="auto"/>
        <w:ind w:left="0" w:right="0"/>
        <w:jc w:val="left"/>
        <w:rPr>
          <w:rFonts w:ascii="宋体" w:hAnsi="宋体" w:cs="宋体"/>
          <w:color w:val="auto"/>
          <w:sz w:val="21"/>
          <w:szCs w:val="20"/>
          <w:highlight w:val="none"/>
          <w:lang w:val="en-US" w:bidi="ar-SA"/>
        </w:rPr>
      </w:pPr>
    </w:p>
    <w:p>
      <w:pPr>
        <w:widowControl/>
        <w:autoSpaceDE/>
        <w:autoSpaceDN/>
        <w:spacing w:before="0" w:after="120" w:line="360" w:lineRule="auto"/>
        <w:ind w:left="0" w:right="0"/>
        <w:jc w:val="both"/>
        <w:rPr>
          <w:rFonts w:ascii="宋体" w:hAnsi="宋体" w:cs="宋体"/>
          <w:color w:val="auto"/>
          <w:sz w:val="21"/>
          <w:szCs w:val="20"/>
          <w:highlight w:val="none"/>
          <w:lang w:val="en-US" w:bidi="ar-SA"/>
        </w:rPr>
      </w:pPr>
    </w:p>
    <w:p>
      <w:pPr>
        <w:widowControl/>
        <w:autoSpaceDE/>
        <w:autoSpaceDN/>
        <w:spacing w:before="0" w:after="120" w:line="360" w:lineRule="auto"/>
        <w:ind w:left="0" w:right="0"/>
        <w:jc w:val="both"/>
        <w:rPr>
          <w:rFonts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 xml:space="preserve">投标人授权代表签字或签章：          </w:t>
      </w:r>
    </w:p>
    <w:p>
      <w:pPr>
        <w:widowControl/>
        <w:autoSpaceDE/>
        <w:autoSpaceDN/>
        <w:spacing w:before="0" w:after="120" w:line="360" w:lineRule="auto"/>
        <w:ind w:left="0" w:right="0"/>
        <w:jc w:val="both"/>
        <w:rPr>
          <w:rFonts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 xml:space="preserve">投标人名称（加盖投标人公章）：                   </w:t>
      </w:r>
    </w:p>
    <w:p>
      <w:pPr>
        <w:widowControl/>
        <w:autoSpaceDE/>
        <w:autoSpaceDN/>
        <w:spacing w:before="0" w:after="120" w:line="360" w:lineRule="auto"/>
        <w:ind w:left="0" w:right="0"/>
        <w:jc w:val="both"/>
        <w:rPr>
          <w:rFonts w:ascii="宋体" w:hAnsi="宋体" w:cs="宋体"/>
          <w:b/>
          <w:bCs/>
          <w:color w:val="auto"/>
          <w:sz w:val="21"/>
          <w:szCs w:val="20"/>
          <w:highlight w:val="none"/>
          <w:lang w:val="en-US" w:bidi="ar-SA"/>
        </w:rPr>
      </w:pPr>
      <w:r>
        <w:rPr>
          <w:rFonts w:hint="eastAsia" w:ascii="宋体" w:hAnsi="宋体" w:cs="宋体"/>
          <w:color w:val="auto"/>
          <w:sz w:val="21"/>
          <w:szCs w:val="20"/>
          <w:highlight w:val="none"/>
          <w:lang w:val="en-US" w:bidi="ar-SA"/>
        </w:rPr>
        <w:t xml:space="preserve">日期：              </w:t>
      </w:r>
    </w:p>
    <w:bookmarkEnd w:id="38"/>
    <w:bookmarkEnd w:id="39"/>
    <w:p>
      <w:pPr>
        <w:widowControl w:val="0"/>
        <w:tabs>
          <w:tab w:val="left" w:pos="654"/>
          <w:tab w:val="left" w:pos="1734"/>
          <w:tab w:val="left" w:pos="2814"/>
          <w:tab w:val="left" w:pos="3894"/>
          <w:tab w:val="left" w:pos="5334"/>
          <w:tab w:val="left" w:pos="6414"/>
          <w:tab w:val="left" w:pos="7254"/>
          <w:tab w:val="left" w:pos="8574"/>
          <w:tab w:val="left" w:pos="9654"/>
        </w:tabs>
        <w:autoSpaceDE/>
        <w:autoSpaceDN/>
        <w:spacing w:before="0" w:after="0" w:line="360" w:lineRule="auto"/>
        <w:ind w:left="0" w:right="0" w:firstLine="315" w:firstLineChars="150"/>
        <w:jc w:val="both"/>
        <w:rPr>
          <w:rFonts w:hint="eastAsia"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备注：</w:t>
      </w:r>
    </w:p>
    <w:p>
      <w:pPr>
        <w:widowControl w:val="0"/>
        <w:tabs>
          <w:tab w:val="left" w:pos="654"/>
          <w:tab w:val="left" w:pos="1734"/>
          <w:tab w:val="left" w:pos="2814"/>
          <w:tab w:val="left" w:pos="3894"/>
          <w:tab w:val="left" w:pos="5334"/>
          <w:tab w:val="left" w:pos="6414"/>
          <w:tab w:val="left" w:pos="7254"/>
          <w:tab w:val="left" w:pos="8574"/>
          <w:tab w:val="left" w:pos="9654"/>
        </w:tabs>
        <w:autoSpaceDE/>
        <w:autoSpaceDN/>
        <w:spacing w:before="0" w:after="0" w:line="360" w:lineRule="auto"/>
        <w:ind w:left="0" w:right="0" w:firstLine="315" w:firstLineChars="150"/>
        <w:jc w:val="both"/>
        <w:rPr>
          <w:rFonts w:hint="eastAsia"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1．中文大写金额用汉字，如壹、贰、叁、肆、伍、陆、柒、捌、玖、拾、佰、仟、万、亿、元、角、分、零、整（正）等。</w:t>
      </w:r>
    </w:p>
    <w:p>
      <w:pPr>
        <w:widowControl w:val="0"/>
        <w:tabs>
          <w:tab w:val="left" w:pos="654"/>
          <w:tab w:val="left" w:pos="1734"/>
          <w:tab w:val="left" w:pos="2814"/>
          <w:tab w:val="left" w:pos="3894"/>
          <w:tab w:val="left" w:pos="5334"/>
          <w:tab w:val="left" w:pos="6414"/>
          <w:tab w:val="left" w:pos="7254"/>
          <w:tab w:val="left" w:pos="8574"/>
          <w:tab w:val="left" w:pos="9654"/>
        </w:tabs>
        <w:autoSpaceDE/>
        <w:autoSpaceDN/>
        <w:spacing w:before="0" w:after="0" w:line="360" w:lineRule="auto"/>
        <w:ind w:left="0" w:right="0" w:firstLine="315" w:firstLineChars="150"/>
        <w:jc w:val="both"/>
        <w:rPr>
          <w:rFonts w:hint="eastAsia"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2．</w:t>
      </w:r>
      <w:r>
        <w:rPr>
          <w:rFonts w:hint="eastAsia" w:ascii="宋体" w:hAnsi="宋体" w:cs="宋体"/>
          <w:bCs/>
          <w:color w:val="auto"/>
          <w:sz w:val="21"/>
          <w:szCs w:val="20"/>
          <w:highlight w:val="none"/>
          <w:lang w:val="en-US" w:bidi="ar-SA"/>
        </w:rPr>
        <w:t>本项目报价采用</w:t>
      </w:r>
      <w:r>
        <w:rPr>
          <w:rFonts w:hint="eastAsia" w:cs="宋体"/>
          <w:bCs/>
          <w:color w:val="auto"/>
          <w:sz w:val="21"/>
          <w:szCs w:val="20"/>
          <w:highlight w:val="none"/>
          <w:lang w:val="en-US" w:eastAsia="zh-CN" w:bidi="ar-SA"/>
        </w:rPr>
        <w:t>总</w:t>
      </w:r>
      <w:r>
        <w:rPr>
          <w:rFonts w:hint="eastAsia" w:ascii="宋体" w:hAnsi="宋体" w:cs="宋体"/>
          <w:bCs/>
          <w:color w:val="auto"/>
          <w:sz w:val="21"/>
          <w:szCs w:val="20"/>
          <w:highlight w:val="none"/>
          <w:lang w:val="en-US" w:bidi="ar-SA"/>
        </w:rPr>
        <w:t>价报价的方式，投标人的投标</w:t>
      </w:r>
      <w:r>
        <w:rPr>
          <w:rFonts w:hint="eastAsia" w:cs="宋体"/>
          <w:bCs/>
          <w:color w:val="auto"/>
          <w:sz w:val="21"/>
          <w:szCs w:val="20"/>
          <w:highlight w:val="none"/>
          <w:lang w:val="en-US" w:eastAsia="zh-CN" w:bidi="ar-SA"/>
        </w:rPr>
        <w:t>总</w:t>
      </w:r>
      <w:r>
        <w:rPr>
          <w:rFonts w:hint="eastAsia" w:ascii="宋体" w:hAnsi="宋体" w:cs="宋体"/>
          <w:bCs/>
          <w:color w:val="auto"/>
          <w:sz w:val="21"/>
          <w:szCs w:val="20"/>
          <w:highlight w:val="none"/>
          <w:lang w:val="en-US" w:bidi="ar-SA"/>
        </w:rPr>
        <w:t>价不能高于最高限价，否则其报价将被认定为无效报价。</w:t>
      </w:r>
      <w:r>
        <w:rPr>
          <w:rFonts w:hint="eastAsia" w:ascii="宋体" w:hAnsi="宋体" w:cs="宋体"/>
          <w:bCs/>
          <w:color w:val="auto"/>
          <w:sz w:val="21"/>
          <w:szCs w:val="21"/>
          <w:highlight w:val="none"/>
          <w:lang w:val="en-US" w:bidi="ar-SA"/>
        </w:rPr>
        <w:t>除</w:t>
      </w:r>
      <w:r>
        <w:rPr>
          <w:rFonts w:hint="eastAsia" w:ascii="宋体" w:hAnsi="宋体" w:cs="宋体"/>
          <w:color w:val="auto"/>
          <w:sz w:val="21"/>
          <w:szCs w:val="21"/>
          <w:highlight w:val="none"/>
          <w:lang w:val="en-US" w:bidi="ar-SA"/>
        </w:rPr>
        <w:t>招标文件另有规定外，投标文件内不得含有任何对本报价进行价格折扣的说明或者资料，否则为无效投标。</w:t>
      </w:r>
    </w:p>
    <w:p>
      <w:pPr>
        <w:widowControl/>
        <w:autoSpaceDE/>
        <w:autoSpaceDN/>
        <w:spacing w:before="0" w:after="0" w:line="360" w:lineRule="auto"/>
        <w:ind w:left="0" w:right="0"/>
        <w:jc w:val="left"/>
        <w:rPr>
          <w:rFonts w:hint="eastAsia" w:ascii="宋体" w:hAnsi="宋体" w:cs="宋体"/>
          <w:color w:val="auto"/>
          <w:sz w:val="21"/>
          <w:szCs w:val="21"/>
          <w:highlight w:val="none"/>
          <w:lang w:val="en-US" w:bidi="ar-SA"/>
        </w:rPr>
      </w:pPr>
    </w:p>
    <w:p>
      <w:pPr>
        <w:widowControl/>
        <w:autoSpaceDE/>
        <w:autoSpaceDN/>
        <w:spacing w:before="0" w:after="0" w:line="360" w:lineRule="auto"/>
        <w:ind w:left="0" w:right="0"/>
        <w:jc w:val="left"/>
        <w:rPr>
          <w:rFonts w:hint="eastAsia" w:ascii="宋体" w:hAnsi="宋体" w:cs="宋体"/>
          <w:color w:val="auto"/>
          <w:sz w:val="21"/>
          <w:szCs w:val="21"/>
          <w:highlight w:val="none"/>
          <w:lang w:val="en-US" w:bidi="ar-SA"/>
        </w:rPr>
      </w:pPr>
    </w:p>
    <w:p>
      <w:pPr>
        <w:widowControl/>
        <w:autoSpaceDE/>
        <w:autoSpaceDN/>
        <w:spacing w:before="0" w:after="0" w:line="360" w:lineRule="auto"/>
        <w:ind w:left="0" w:right="0"/>
        <w:jc w:val="left"/>
        <w:rPr>
          <w:rFonts w:hint="eastAsia" w:ascii="宋体" w:hAnsi="宋体" w:cs="宋体"/>
          <w:color w:val="auto"/>
          <w:sz w:val="21"/>
          <w:szCs w:val="21"/>
          <w:highlight w:val="none"/>
          <w:lang w:val="en-US" w:bidi="ar-SA"/>
        </w:rPr>
      </w:pPr>
    </w:p>
    <w:p>
      <w:pPr>
        <w:rPr>
          <w:rFonts w:ascii="Times New Roman" w:hAnsi="Times New Roman" w:cs="Times New Roman"/>
          <w:color w:val="auto"/>
          <w:sz w:val="21"/>
          <w:szCs w:val="20"/>
          <w:highlight w:val="none"/>
          <w:lang w:val="en-US" w:bidi="ar-SA"/>
        </w:rPr>
      </w:pPr>
      <w:r>
        <w:rPr>
          <w:rFonts w:ascii="Times New Roman" w:hAnsi="Times New Roman" w:cs="Times New Roman"/>
          <w:color w:val="auto"/>
          <w:sz w:val="21"/>
          <w:szCs w:val="20"/>
          <w:highlight w:val="none"/>
          <w:lang w:val="en-US" w:bidi="ar-SA"/>
        </w:rPr>
        <w:br w:type="page"/>
      </w:r>
    </w:p>
    <w:bookmarkEnd w:id="18"/>
    <w:bookmarkEnd w:id="19"/>
    <w:bookmarkEnd w:id="20"/>
    <w:bookmarkEnd w:id="21"/>
    <w:bookmarkEnd w:id="22"/>
    <w:bookmarkEnd w:id="23"/>
    <w:bookmarkEnd w:id="24"/>
    <w:bookmarkEnd w:id="25"/>
    <w:bookmarkEnd w:id="26"/>
    <w:bookmarkEnd w:id="27"/>
    <w:bookmarkEnd w:id="28"/>
    <w:p>
      <w:pPr>
        <w:widowControl w:val="0"/>
        <w:autoSpaceDE/>
        <w:autoSpaceDN/>
        <w:spacing w:before="0" w:after="0" w:line="360" w:lineRule="auto"/>
        <w:ind w:left="0" w:right="0"/>
        <w:jc w:val="both"/>
        <w:rPr>
          <w:rFonts w:hint="eastAsia" w:ascii="宋体" w:hAnsi="宋体" w:eastAsia="宋体" w:cs="Times New Roman"/>
          <w:b/>
          <w:sz w:val="21"/>
          <w:szCs w:val="21"/>
          <w:lang w:val="en-US" w:bidi="ar-SA"/>
        </w:rPr>
      </w:pPr>
      <w:r>
        <w:rPr>
          <w:rFonts w:hint="eastAsia" w:ascii="Times New Roman" w:cs="Times New Roman"/>
          <w:b/>
          <w:bCs/>
          <w:kern w:val="2"/>
          <w:sz w:val="24"/>
          <w:szCs w:val="24"/>
          <w:lang w:val="en-US" w:eastAsia="zh-CN" w:bidi="ar-SA"/>
        </w:rPr>
        <w:t>二</w:t>
      </w:r>
      <w:r>
        <w:rPr>
          <w:rFonts w:hint="eastAsia" w:ascii="Times New Roman" w:hAnsi="宋体" w:eastAsia="宋体" w:cs="Times New Roman"/>
          <w:b/>
          <w:bCs/>
          <w:kern w:val="2"/>
          <w:sz w:val="24"/>
          <w:szCs w:val="24"/>
          <w:lang w:val="en-US" w:eastAsia="zh-CN" w:bidi="ar-SA"/>
        </w:rPr>
        <w:t>、</w:t>
      </w:r>
      <w:r>
        <w:rPr>
          <w:rFonts w:hint="eastAsia" w:ascii="Times New Roman" w:hAnsi="宋体" w:eastAsia="宋体" w:cs="Times New Roman"/>
          <w:b/>
          <w:bCs/>
          <w:kern w:val="2"/>
          <w:sz w:val="24"/>
          <w:szCs w:val="24"/>
          <w:lang w:val="en-US" w:bidi="ar-SA"/>
        </w:rPr>
        <w:t>法定代表人（或者负责人）资格证明书及授权委托书</w:t>
      </w:r>
    </w:p>
    <w:p>
      <w:pPr>
        <w:widowControl w:val="0"/>
        <w:autoSpaceDE/>
        <w:autoSpaceDN/>
        <w:spacing w:before="0" w:after="0" w:line="360" w:lineRule="auto"/>
        <w:ind w:left="0" w:right="0"/>
        <w:jc w:val="center"/>
        <w:rPr>
          <w:rFonts w:hint="eastAsia" w:ascii="宋体" w:hAnsi="宋体" w:eastAsia="宋体" w:cs="Times New Roman"/>
          <w:b/>
          <w:sz w:val="21"/>
          <w:szCs w:val="21"/>
          <w:lang w:val="en-US" w:bidi="ar-SA"/>
        </w:rPr>
      </w:pPr>
    </w:p>
    <w:p>
      <w:pPr>
        <w:widowControl w:val="0"/>
        <w:autoSpaceDE/>
        <w:autoSpaceDN/>
        <w:spacing w:before="0" w:after="0" w:line="360" w:lineRule="auto"/>
        <w:ind w:left="0" w:right="0"/>
        <w:jc w:val="center"/>
        <w:rPr>
          <w:rFonts w:ascii="宋体" w:hAnsi="宋体" w:eastAsia="宋体" w:cs="Times New Roman"/>
          <w:b/>
          <w:sz w:val="21"/>
          <w:szCs w:val="21"/>
          <w:lang w:val="en-US" w:bidi="ar-SA"/>
        </w:rPr>
      </w:pPr>
      <w:r>
        <w:rPr>
          <w:rFonts w:hint="eastAsia" w:ascii="宋体" w:hAnsi="宋体" w:eastAsia="宋体" w:cs="Times New Roman"/>
          <w:b/>
          <w:sz w:val="21"/>
          <w:szCs w:val="21"/>
          <w:lang w:val="en-US" w:bidi="ar-SA"/>
        </w:rPr>
        <w:t>法定代表人（或者负责人）资格证明书</w:t>
      </w: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致：珠海市香洲区第二人民医院</w:t>
      </w: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firstLine="539" w:firstLineChars="257"/>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（姓名）先生/女士，现任我单位（职务名称），为本单位法定代表人（或者负责人），特此证明。</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单位（盖公章）：</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代表人性别：</w:t>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年龄：</w:t>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身份证明号码：</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联系电话：</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营业执照号码：</w:t>
      </w: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b/>
          <w:sz w:val="21"/>
          <w:szCs w:val="21"/>
          <w:lang w:val="en-US" w:bidi="ar-SA"/>
        </w:rPr>
      </w:pPr>
      <w:r>
        <w:rPr>
          <w:rFonts w:hint="eastAsia" w:ascii="宋体" w:hAnsi="宋体" w:eastAsia="宋体" w:cs="Times New Roman"/>
          <w:b/>
          <w:sz w:val="21"/>
          <w:szCs w:val="21"/>
          <w:lang w:val="en-US" w:bidi="ar-SA"/>
        </w:rPr>
        <w:t>说明：投标人应提供法定代表人（或者负责人）身份证明复印件。</w:t>
      </w:r>
    </w:p>
    <w:tbl>
      <w:tblPr>
        <w:tblStyle w:val="16"/>
        <w:tblpPr w:leftFromText="180" w:rightFromText="180" w:vertAnchor="text" w:horzAnchor="margin" w:tblpXSpec="center" w:tblpY="102"/>
        <w:tblOverlap w:val="never"/>
        <w:tblW w:w="7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4"/>
        <w:gridCol w:w="3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exact"/>
        </w:trPr>
        <w:tc>
          <w:tcPr>
            <w:tcW w:w="365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法定代表人（或者负责人）有效的身份证明复印件粘贴处（正面）</w:t>
            </w:r>
          </w:p>
        </w:tc>
        <w:tc>
          <w:tcPr>
            <w:tcW w:w="365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法定代表人（或者负责人）有效的身份证明复印件粘贴处（反面）</w:t>
            </w:r>
          </w:p>
        </w:tc>
      </w:tr>
    </w:tbl>
    <w:p>
      <w:pPr>
        <w:widowControl/>
        <w:autoSpaceDE/>
        <w:autoSpaceDN/>
        <w:spacing w:before="0" w:after="0" w:line="360" w:lineRule="auto"/>
        <w:ind w:left="0" w:right="0" w:firstLine="42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val="0"/>
        <w:autoSpaceDE/>
        <w:autoSpaceDN/>
        <w:spacing w:before="0" w:after="0" w:line="360" w:lineRule="auto"/>
        <w:ind w:left="0" w:right="0"/>
        <w:jc w:val="center"/>
        <w:rPr>
          <w:rFonts w:hint="eastAsia" w:ascii="宋体" w:hAnsi="宋体" w:eastAsia="宋体" w:cs="Times New Roman"/>
          <w:b/>
          <w:sz w:val="21"/>
          <w:szCs w:val="21"/>
          <w:lang w:val="en-US" w:bidi="ar-SA"/>
        </w:rPr>
      </w:pPr>
      <w:r>
        <w:rPr>
          <w:rFonts w:hint="eastAsia" w:ascii="宋体" w:hAnsi="宋体" w:eastAsia="宋体" w:cs="Times New Roman"/>
          <w:b/>
          <w:sz w:val="21"/>
          <w:szCs w:val="21"/>
          <w:lang w:val="en-US" w:bidi="ar-SA"/>
        </w:rPr>
        <w:br w:type="page"/>
      </w:r>
      <w:r>
        <w:rPr>
          <w:rFonts w:hint="eastAsia" w:ascii="宋体" w:hAnsi="宋体" w:eastAsia="宋体" w:cs="Times New Roman"/>
          <w:b/>
          <w:sz w:val="21"/>
          <w:szCs w:val="21"/>
          <w:lang w:val="en-US" w:bidi="ar-SA"/>
        </w:rPr>
        <w:t>法定代表人（或者负责人）授权委托书</w:t>
      </w:r>
    </w:p>
    <w:p>
      <w:pPr>
        <w:widowControl w:val="0"/>
        <w:autoSpaceDE/>
        <w:autoSpaceDN/>
        <w:spacing w:before="0" w:after="120" w:line="240" w:lineRule="auto"/>
        <w:ind w:left="0" w:right="0" w:firstLine="210" w:firstLineChars="100"/>
        <w:jc w:val="both"/>
        <w:rPr>
          <w:rFonts w:ascii="Times New Roman" w:hAnsi="Times New Roman" w:eastAsia="宋体" w:cs="Times New Roman"/>
          <w:kern w:val="2"/>
          <w:sz w:val="21"/>
          <w:szCs w:val="24"/>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致：珠海市香洲区第二人民医院</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bCs/>
          <w:sz w:val="21"/>
          <w:szCs w:val="21"/>
          <w:lang w:val="en-US" w:bidi="ar-SA"/>
        </w:rPr>
      </w:pPr>
      <w:r>
        <w:rPr>
          <w:rFonts w:hint="eastAsia" w:ascii="宋体" w:hAnsi="宋体" w:eastAsia="宋体" w:cs="Times New Roman"/>
          <w:bCs/>
          <w:sz w:val="21"/>
          <w:szCs w:val="21"/>
          <w:lang w:val="en-US" w:bidi="ar-SA"/>
        </w:rPr>
        <w:t>本授权书声明：我（姓名）系（投标人名称）的法定代表人</w:t>
      </w:r>
      <w:r>
        <w:rPr>
          <w:rFonts w:hint="eastAsia" w:ascii="宋体" w:hAnsi="宋体" w:eastAsia="宋体" w:cs="Times New Roman"/>
          <w:sz w:val="21"/>
          <w:szCs w:val="21"/>
          <w:lang w:val="en-US" w:bidi="ar-SA"/>
        </w:rPr>
        <w:t>（或者负责人）</w:t>
      </w:r>
      <w:r>
        <w:rPr>
          <w:rFonts w:hint="eastAsia" w:ascii="宋体" w:hAnsi="宋体" w:eastAsia="宋体" w:cs="Times New Roman"/>
          <w:bCs/>
          <w:sz w:val="21"/>
          <w:szCs w:val="21"/>
          <w:lang w:val="en-US" w:bidi="ar-SA"/>
        </w:rPr>
        <w:t>，现授权（单位名称）的（被授权人的姓名、职务）为本公司的合法代理人，以本公司的名义参加</w:t>
      </w:r>
      <w:r>
        <w:rPr>
          <w:rFonts w:hint="eastAsia" w:ascii="宋体" w:hAnsi="宋体" w:eastAsia="宋体" w:cs="Times New Roman"/>
          <w:bCs/>
          <w:sz w:val="21"/>
          <w:szCs w:val="21"/>
          <w:u w:val="single"/>
          <w:lang w:val="en-US" w:eastAsia="zh-CN" w:bidi="ar-SA"/>
        </w:rPr>
        <w:t xml:space="preserve">            </w:t>
      </w:r>
      <w:r>
        <w:rPr>
          <w:rFonts w:hint="eastAsia" w:ascii="宋体" w:hAnsi="宋体" w:eastAsia="宋体" w:cs="Times New Roman"/>
          <w:sz w:val="21"/>
          <w:szCs w:val="21"/>
          <w:u w:val="single"/>
          <w:lang w:val="en-US" w:bidi="ar-SA"/>
        </w:rPr>
        <w:t>项目（项目编号：</w:t>
      </w:r>
      <w:r>
        <w:rPr>
          <w:rFonts w:hint="eastAsia" w:ascii="宋体" w:hAnsi="宋体" w:eastAsia="宋体" w:cs="Times New Roman"/>
          <w:sz w:val="21"/>
          <w:szCs w:val="21"/>
          <w:u w:val="single"/>
          <w:lang w:val="en-US" w:eastAsia="zh-CN" w:bidi="ar-SA"/>
        </w:rPr>
        <w:t xml:space="preserve">     </w:t>
      </w:r>
      <w:r>
        <w:rPr>
          <w:rFonts w:hint="eastAsia" w:ascii="宋体" w:hAnsi="宋体" w:eastAsia="宋体" w:cs="Times New Roman"/>
          <w:sz w:val="21"/>
          <w:szCs w:val="21"/>
          <w:u w:val="single"/>
          <w:lang w:val="en-US" w:bidi="ar-SA"/>
        </w:rPr>
        <w:t>）</w:t>
      </w:r>
      <w:r>
        <w:rPr>
          <w:rFonts w:hint="eastAsia" w:ascii="宋体" w:hAnsi="宋体" w:eastAsia="宋体" w:cs="Times New Roman"/>
          <w:bCs/>
          <w:sz w:val="21"/>
          <w:szCs w:val="21"/>
          <w:lang w:val="en-US" w:bidi="ar-SA"/>
        </w:rPr>
        <w:t>的投标活动。代理人对该项目所签署的一切文件和处理与之有关的一切事务，我均予以承认。</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代理人无转委托权。特此委托。</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法定代表人（或者负责人）（签字或者盖私章）：</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投标人名称（加盖公章）：</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说明：</w:t>
      </w: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1.有效期限：与本单位投标文件中标注的投标有效期一致。</w:t>
      </w: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2.投标代表为法定代表人（或者负责人），则本委托书不需提供。</w:t>
      </w: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3.投标代表为法定代表人（或者负责人）授权委托人的，须提供本授权委托书及被授权人身份证明复印件，否则作无效投标处理。</w:t>
      </w:r>
    </w:p>
    <w:p>
      <w:pPr>
        <w:widowControl w:val="0"/>
        <w:autoSpaceDE/>
        <w:autoSpaceDN/>
        <w:spacing w:before="0" w:after="0" w:line="360" w:lineRule="auto"/>
        <w:ind w:left="0" w:right="0" w:firstLine="647" w:firstLineChars="307"/>
        <w:jc w:val="both"/>
        <w:rPr>
          <w:rFonts w:hint="eastAsia" w:ascii="宋体" w:hAnsi="宋体" w:eastAsia="宋体" w:cs="Times New Roman"/>
          <w:b/>
          <w:sz w:val="21"/>
          <w:szCs w:val="21"/>
          <w:lang w:val="en-US" w:bidi="ar-SA"/>
        </w:rPr>
      </w:pPr>
    </w:p>
    <w:p>
      <w:pPr>
        <w:widowControl w:val="0"/>
        <w:autoSpaceDE/>
        <w:autoSpaceDN/>
        <w:spacing w:before="0" w:after="0" w:line="360" w:lineRule="auto"/>
        <w:ind w:left="0" w:right="0" w:firstLine="647" w:firstLineChars="307"/>
        <w:jc w:val="both"/>
        <w:rPr>
          <w:rFonts w:hint="eastAsia" w:ascii="宋体" w:hAnsi="宋体" w:eastAsia="宋体" w:cs="Times New Roman"/>
          <w:b/>
          <w:sz w:val="21"/>
          <w:szCs w:val="21"/>
          <w:lang w:val="en-US" w:bidi="ar-SA"/>
        </w:rPr>
      </w:pPr>
    </w:p>
    <w:p>
      <w:pPr>
        <w:widowControl w:val="0"/>
        <w:autoSpaceDE/>
        <w:autoSpaceDN/>
        <w:spacing w:before="0" w:after="0" w:line="360" w:lineRule="auto"/>
        <w:ind w:left="0" w:right="0" w:firstLine="647" w:firstLineChars="307"/>
        <w:jc w:val="both"/>
        <w:rPr>
          <w:rFonts w:ascii="宋体" w:hAnsi="宋体" w:eastAsia="宋体" w:cs="Times New Roman"/>
          <w:sz w:val="21"/>
          <w:szCs w:val="21"/>
          <w:lang w:val="en-US" w:bidi="ar-SA"/>
        </w:rPr>
      </w:pPr>
      <w:r>
        <w:rPr>
          <w:rFonts w:hint="eastAsia" w:ascii="宋体" w:hAnsi="宋体" w:eastAsia="宋体" w:cs="Times New Roman"/>
          <w:b/>
          <w:sz w:val="21"/>
          <w:szCs w:val="21"/>
          <w:lang w:val="en-US" w:bidi="ar-SA"/>
        </w:rPr>
        <w:t>说明：投标人应提供被授权人身份证明复印件。</w:t>
      </w:r>
    </w:p>
    <w:tbl>
      <w:tblPr>
        <w:tblStyle w:val="16"/>
        <w:tblW w:w="7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4"/>
        <w:gridCol w:w="3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42" w:hRule="exact"/>
          <w:jc w:val="center"/>
        </w:trPr>
        <w:tc>
          <w:tcPr>
            <w:tcW w:w="361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被授权人有效的身份证明复印件粘贴处（正面）</w:t>
            </w:r>
          </w:p>
        </w:tc>
        <w:tc>
          <w:tcPr>
            <w:tcW w:w="361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被授权人有效的身份证明复印件粘贴处（反面）</w:t>
            </w:r>
          </w:p>
        </w:tc>
      </w:tr>
    </w:tbl>
    <w:p>
      <w:pPr>
        <w:widowControl/>
        <w:autoSpaceDE/>
        <w:autoSpaceDN/>
        <w:spacing w:before="0" w:after="0" w:line="300" w:lineRule="auto"/>
        <w:ind w:left="0" w:right="0"/>
        <w:jc w:val="left"/>
        <w:rPr>
          <w:rFonts w:hint="eastAsia" w:ascii="宋体" w:hAnsi="宋体" w:eastAsia="宋体" w:cs="宋体"/>
          <w:b/>
          <w:sz w:val="24"/>
          <w:szCs w:val="24"/>
          <w:lang w:val="en-US" w:bidi="ar-SA"/>
        </w:rPr>
      </w:pPr>
      <w:r>
        <w:rPr>
          <w:rFonts w:ascii="宋体" w:hAnsi="宋体" w:eastAsia="宋体" w:cs="Times New Roman"/>
          <w:kern w:val="2"/>
          <w:sz w:val="21"/>
          <w:szCs w:val="21"/>
          <w:lang w:val="en-US" w:bidi="ar-SA"/>
        </w:rPr>
        <w:br w:type="page"/>
      </w:r>
      <w:r>
        <w:rPr>
          <w:rFonts w:hint="eastAsia" w:cs="宋体"/>
          <w:b/>
          <w:sz w:val="24"/>
          <w:szCs w:val="24"/>
          <w:lang w:val="en-US" w:eastAsia="zh-CN" w:bidi="ar-SA"/>
        </w:rPr>
        <w:t>三</w:t>
      </w:r>
      <w:r>
        <w:rPr>
          <w:rFonts w:hint="eastAsia" w:ascii="宋体" w:hAnsi="宋体" w:eastAsia="宋体" w:cs="宋体"/>
          <w:b/>
          <w:sz w:val="24"/>
          <w:szCs w:val="24"/>
          <w:lang w:val="en-US" w:eastAsia="zh-CN" w:bidi="ar-SA"/>
        </w:rPr>
        <w:t>、</w:t>
      </w:r>
      <w:r>
        <w:rPr>
          <w:rFonts w:hint="eastAsia" w:ascii="宋体" w:hAnsi="宋体" w:eastAsia="宋体" w:cs="宋体"/>
          <w:b/>
          <w:sz w:val="24"/>
          <w:szCs w:val="24"/>
          <w:lang w:val="en-US" w:bidi="ar-SA"/>
        </w:rPr>
        <w:t>资格声明函</w:t>
      </w:r>
    </w:p>
    <w:p>
      <w:pPr>
        <w:widowControl w:val="0"/>
        <w:autoSpaceDE/>
        <w:autoSpaceDN/>
        <w:spacing w:before="0" w:after="0" w:line="360" w:lineRule="auto"/>
        <w:ind w:left="0" w:right="0"/>
        <w:jc w:val="center"/>
        <w:rPr>
          <w:rFonts w:hint="eastAsia" w:ascii="宋体" w:hAnsi="宋体" w:eastAsia="宋体" w:cs="Times New Roman"/>
          <w:b/>
          <w:sz w:val="21"/>
          <w:szCs w:val="21"/>
          <w:lang w:val="en-US" w:bidi="ar-SA"/>
        </w:rPr>
      </w:pPr>
      <w:r>
        <w:rPr>
          <w:rFonts w:hint="eastAsia" w:ascii="宋体" w:hAnsi="宋体" w:eastAsia="宋体" w:cs="Times New Roman"/>
          <w:b/>
          <w:sz w:val="21"/>
          <w:szCs w:val="21"/>
          <w:lang w:val="en-US" w:bidi="ar-SA"/>
        </w:rPr>
        <w:t>投标人资格声明函</w:t>
      </w:r>
    </w:p>
    <w:p>
      <w:pPr>
        <w:widowControl/>
        <w:autoSpaceDE/>
        <w:autoSpaceDN/>
        <w:spacing w:before="0" w:after="0" w:line="360" w:lineRule="auto"/>
        <w:ind w:left="0" w:right="0"/>
        <w:jc w:val="left"/>
        <w:rPr>
          <w:rFonts w:ascii="宋体" w:hAnsi="宋体" w:eastAsia="宋体" w:cs="宋体"/>
          <w:sz w:val="24"/>
          <w:szCs w:val="24"/>
          <w:lang w:val="en-US" w:bidi="ar-SA"/>
        </w:rPr>
      </w:pPr>
    </w:p>
    <w:p>
      <w:pPr>
        <w:widowControl/>
        <w:autoSpaceDE/>
        <w:autoSpaceDN/>
        <w:spacing w:before="0" w:after="0" w:line="240" w:lineRule="auto"/>
        <w:ind w:left="0" w:right="0"/>
        <w:jc w:val="left"/>
        <w:rPr>
          <w:rFonts w:ascii="宋体" w:hAnsi="宋体" w:eastAsia="宋体" w:cs="宋体"/>
          <w:sz w:val="21"/>
          <w:szCs w:val="20"/>
          <w:lang w:val="en-US" w:bidi="ar-SA"/>
        </w:rPr>
      </w:pPr>
      <w:r>
        <w:rPr>
          <w:rFonts w:hint="eastAsia" w:ascii="宋体" w:hAnsi="宋体" w:eastAsia="宋体" w:cs="宋体"/>
          <w:sz w:val="21"/>
          <w:szCs w:val="20"/>
          <w:lang w:val="en-US" w:bidi="ar-SA"/>
        </w:rPr>
        <w:t>致：</w:t>
      </w:r>
      <w:r>
        <w:rPr>
          <w:rFonts w:hint="eastAsia" w:ascii="宋体" w:hAnsi="宋体" w:eastAsia="宋体" w:cs="宋体"/>
          <w:sz w:val="21"/>
          <w:szCs w:val="20"/>
          <w:u w:val="single"/>
          <w:lang w:val="en-US" w:bidi="ar-SA"/>
        </w:rPr>
        <w:t>（采购人）</w:t>
      </w:r>
    </w:p>
    <w:p>
      <w:pPr>
        <w:widowControl/>
        <w:autoSpaceDE/>
        <w:autoSpaceDN/>
        <w:spacing w:before="0" w:after="0" w:line="240" w:lineRule="auto"/>
        <w:ind w:left="0" w:right="0" w:firstLine="435"/>
        <w:jc w:val="left"/>
        <w:rPr>
          <w:rFonts w:ascii="宋体" w:hAnsi="宋体" w:eastAsia="宋体" w:cs="宋体"/>
          <w:sz w:val="21"/>
          <w:szCs w:val="20"/>
          <w:lang w:val="en-US" w:bidi="ar-SA"/>
        </w:rPr>
      </w:pPr>
      <w:r>
        <w:rPr>
          <w:rFonts w:hint="eastAsia" w:ascii="宋体" w:hAnsi="宋体" w:eastAsia="宋体" w:cs="宋体"/>
          <w:sz w:val="21"/>
          <w:szCs w:val="20"/>
          <w:lang w:val="en-US" w:bidi="ar-SA"/>
        </w:rPr>
        <w:t>关于贵方项目名称：</w:t>
      </w:r>
      <w:r>
        <w:rPr>
          <w:rFonts w:hint="eastAsia" w:ascii="宋体" w:hAnsi="宋体" w:eastAsia="宋体" w:cs="Times New Roman"/>
          <w:sz w:val="21"/>
          <w:szCs w:val="21"/>
          <w:u w:val="single"/>
          <w:lang w:val="en-US" w:eastAsia="zh-CN" w:bidi="ar-SA"/>
        </w:rPr>
        <w:t xml:space="preserve">                      </w:t>
      </w:r>
      <w:r>
        <w:rPr>
          <w:rFonts w:hint="eastAsia" w:ascii="宋体" w:hAnsi="宋体" w:eastAsia="宋体" w:cs="Times New Roman"/>
          <w:sz w:val="21"/>
          <w:szCs w:val="21"/>
          <w:lang w:val="en-US" w:bidi="ar-SA"/>
        </w:rPr>
        <w:t>项目</w:t>
      </w:r>
      <w:r>
        <w:rPr>
          <w:rFonts w:hint="eastAsia" w:ascii="宋体" w:hAnsi="宋体" w:eastAsia="宋体" w:cs="Times New Roman"/>
          <w:sz w:val="21"/>
          <w:szCs w:val="21"/>
          <w:u w:val="single"/>
          <w:lang w:val="en-US" w:bidi="ar-SA"/>
        </w:rPr>
        <w:t>（项目编号：</w:t>
      </w:r>
      <w:r>
        <w:rPr>
          <w:rFonts w:hint="eastAsia" w:ascii="宋体" w:hAnsi="宋体" w:eastAsia="宋体" w:cs="Times New Roman"/>
          <w:sz w:val="21"/>
          <w:szCs w:val="21"/>
          <w:u w:val="single"/>
          <w:lang w:val="en-US" w:eastAsia="zh-CN" w:bidi="ar-SA"/>
        </w:rPr>
        <w:t xml:space="preserve">                 </w:t>
      </w:r>
      <w:r>
        <w:rPr>
          <w:rFonts w:hint="eastAsia" w:ascii="宋体" w:hAnsi="宋体" w:eastAsia="宋体" w:cs="Times New Roman"/>
          <w:sz w:val="21"/>
          <w:szCs w:val="21"/>
          <w:u w:val="single"/>
          <w:lang w:val="en-US" w:bidi="ar-SA"/>
        </w:rPr>
        <w:t>）</w:t>
      </w:r>
      <w:r>
        <w:rPr>
          <w:rFonts w:hint="eastAsia" w:ascii="宋体" w:hAnsi="宋体" w:eastAsia="宋体" w:cs="宋体"/>
          <w:sz w:val="21"/>
          <w:szCs w:val="20"/>
          <w:lang w:val="en-US" w:bidi="ar-SA"/>
        </w:rPr>
        <w:t>公告，本签字或签章人愿意参加磋商响应，提供响应文件中规定的服务，并证明提交的下列文件和说明是准确的和真实的。</w:t>
      </w:r>
    </w:p>
    <w:p>
      <w:pPr>
        <w:widowControl/>
        <w:autoSpaceDE/>
        <w:autoSpaceDN/>
        <w:spacing w:before="0" w:after="0" w:line="240" w:lineRule="auto"/>
        <w:ind w:left="0" w:right="0" w:firstLine="435"/>
        <w:jc w:val="left"/>
        <w:rPr>
          <w:rFonts w:ascii="宋体" w:hAnsi="宋体" w:eastAsia="宋体" w:cs="宋体"/>
          <w:sz w:val="21"/>
          <w:szCs w:val="20"/>
          <w:lang w:val="en-US" w:bidi="ar-SA"/>
        </w:rPr>
      </w:pPr>
      <w:r>
        <w:rPr>
          <w:rFonts w:hint="eastAsia" w:ascii="宋体" w:hAnsi="宋体" w:eastAsia="宋体" w:cs="宋体"/>
          <w:sz w:val="21"/>
          <w:szCs w:val="20"/>
          <w:lang w:val="en-US" w:bidi="ar-SA"/>
        </w:rPr>
        <w:t>1.我方为本次采购所提交的所有证明其合格和资格的文件是真实的和正确的，并愿为其真实性和正确性承担法律责任；</w:t>
      </w:r>
    </w:p>
    <w:p>
      <w:pPr>
        <w:widowControl/>
        <w:autoSpaceDE/>
        <w:autoSpaceDN/>
        <w:spacing w:before="0" w:after="0" w:line="240" w:lineRule="auto"/>
        <w:ind w:left="0" w:right="0" w:firstLine="435"/>
        <w:jc w:val="left"/>
        <w:rPr>
          <w:rFonts w:ascii="宋体" w:hAnsi="宋体" w:eastAsia="宋体" w:cs="宋体"/>
          <w:sz w:val="21"/>
          <w:szCs w:val="20"/>
          <w:lang w:val="en-US" w:bidi="ar-SA"/>
        </w:rPr>
      </w:pPr>
      <w:r>
        <w:rPr>
          <w:rFonts w:hint="eastAsia" w:ascii="宋体" w:hAnsi="宋体" w:eastAsia="宋体" w:cs="宋体"/>
          <w:sz w:val="21"/>
          <w:szCs w:val="20"/>
          <w:lang w:val="en-US" w:bidi="ar-SA"/>
        </w:rPr>
        <w:t>2.我方是依法注册的法人，在法律上、财务上和运作上完全独立于</w:t>
      </w:r>
      <w:r>
        <w:rPr>
          <w:rFonts w:hint="eastAsia" w:ascii="宋体" w:hAnsi="宋体" w:eastAsia="宋体" w:cs="宋体"/>
          <w:sz w:val="21"/>
          <w:szCs w:val="20"/>
          <w:u w:val="single"/>
          <w:lang w:val="en-US" w:bidi="ar-SA"/>
        </w:rPr>
        <w:t>（采购人名称）</w:t>
      </w:r>
      <w:r>
        <w:rPr>
          <w:rFonts w:hint="eastAsia" w:ascii="宋体" w:hAnsi="宋体" w:eastAsia="宋体" w:cs="宋体"/>
          <w:sz w:val="21"/>
          <w:szCs w:val="20"/>
          <w:lang w:val="en-US" w:bidi="ar-SA"/>
        </w:rPr>
        <w:t>（采购人）。</w:t>
      </w:r>
    </w:p>
    <w:p>
      <w:pPr>
        <w:widowControl/>
        <w:autoSpaceDE/>
        <w:autoSpaceDN/>
        <w:spacing w:before="0" w:after="0" w:line="240" w:lineRule="auto"/>
        <w:ind w:left="0" w:right="0" w:firstLine="435"/>
        <w:jc w:val="left"/>
        <w:rPr>
          <w:rFonts w:ascii="宋体" w:hAnsi="宋体" w:eastAsia="宋体" w:cs="宋体"/>
          <w:sz w:val="21"/>
          <w:szCs w:val="20"/>
          <w:lang w:val="en-US" w:bidi="ar-SA"/>
        </w:rPr>
      </w:pPr>
      <w:r>
        <w:rPr>
          <w:rFonts w:hint="eastAsia" w:ascii="宋体" w:hAnsi="宋体" w:eastAsia="宋体" w:cs="宋体"/>
          <w:sz w:val="21"/>
          <w:szCs w:val="20"/>
          <w:lang w:val="en-US" w:bidi="ar-SA"/>
        </w:rPr>
        <w:t>3.满足《中华人民共和国政府釆购法》第二十二条规定。</w:t>
      </w:r>
    </w:p>
    <w:p>
      <w:pPr>
        <w:widowControl/>
        <w:autoSpaceDE/>
        <w:autoSpaceDN/>
        <w:spacing w:before="0" w:after="0" w:line="240" w:lineRule="auto"/>
        <w:ind w:left="0" w:right="0" w:firstLine="435"/>
        <w:jc w:val="left"/>
        <w:rPr>
          <w:rFonts w:ascii="宋体" w:hAnsi="宋体" w:eastAsia="宋体" w:cs="宋体"/>
          <w:sz w:val="21"/>
          <w:szCs w:val="20"/>
          <w:lang w:val="en-US" w:bidi="ar-SA"/>
        </w:rPr>
      </w:pPr>
      <w:r>
        <w:rPr>
          <w:rFonts w:hint="eastAsia" w:ascii="宋体" w:hAnsi="宋体" w:eastAsia="宋体" w:cs="宋体"/>
          <w:sz w:val="21"/>
          <w:szCs w:val="20"/>
          <w:lang w:val="en-US" w:bidi="ar-SA"/>
        </w:rPr>
        <w:t>3.1具有独立承担民事责任的能力。</w:t>
      </w:r>
    </w:p>
    <w:p>
      <w:pPr>
        <w:widowControl/>
        <w:autoSpaceDE/>
        <w:autoSpaceDN/>
        <w:spacing w:before="0" w:after="0" w:line="240" w:lineRule="auto"/>
        <w:ind w:left="0" w:right="0" w:firstLine="435"/>
        <w:jc w:val="left"/>
        <w:rPr>
          <w:rFonts w:ascii="宋体" w:hAnsi="宋体" w:eastAsia="宋体" w:cs="宋体"/>
          <w:sz w:val="21"/>
          <w:szCs w:val="20"/>
          <w:lang w:val="en-US" w:bidi="ar-SA"/>
        </w:rPr>
      </w:pPr>
      <w:r>
        <w:rPr>
          <w:rFonts w:hint="eastAsia" w:ascii="宋体" w:hAnsi="宋体" w:eastAsia="宋体" w:cs="宋体"/>
          <w:sz w:val="21"/>
          <w:szCs w:val="20"/>
          <w:lang w:val="en-US" w:bidi="ar-SA"/>
        </w:rPr>
        <w:t>3.2具有良好的商业信誉和健全的财务会计制度。</w:t>
      </w:r>
    </w:p>
    <w:p>
      <w:pPr>
        <w:widowControl/>
        <w:autoSpaceDE/>
        <w:autoSpaceDN/>
        <w:spacing w:before="0" w:after="0" w:line="240" w:lineRule="auto"/>
        <w:ind w:left="0" w:right="0" w:firstLine="435"/>
        <w:jc w:val="left"/>
        <w:rPr>
          <w:rFonts w:ascii="宋体" w:hAnsi="宋体" w:eastAsia="宋体" w:cs="宋体"/>
          <w:sz w:val="21"/>
          <w:szCs w:val="20"/>
          <w:lang w:val="en-US" w:bidi="ar-SA"/>
        </w:rPr>
      </w:pPr>
      <w:r>
        <w:rPr>
          <w:rFonts w:hint="eastAsia" w:ascii="宋体" w:hAnsi="宋体" w:eastAsia="宋体" w:cs="宋体"/>
          <w:sz w:val="21"/>
          <w:szCs w:val="20"/>
          <w:lang w:val="en-US" w:bidi="ar-SA"/>
        </w:rPr>
        <w:t>3.3具有依法缴纳税收和社会保障资金的良好记录。</w:t>
      </w:r>
    </w:p>
    <w:p>
      <w:pPr>
        <w:widowControl/>
        <w:autoSpaceDE/>
        <w:autoSpaceDN/>
        <w:spacing w:before="0" w:after="0" w:line="240" w:lineRule="auto"/>
        <w:ind w:left="0" w:right="0" w:firstLine="435"/>
        <w:jc w:val="left"/>
        <w:rPr>
          <w:rFonts w:ascii="宋体" w:hAnsi="宋体" w:eastAsia="宋体" w:cs="宋体"/>
          <w:sz w:val="21"/>
          <w:szCs w:val="20"/>
          <w:lang w:val="en-US" w:bidi="ar-SA"/>
        </w:rPr>
      </w:pPr>
      <w:r>
        <w:rPr>
          <w:rFonts w:hint="eastAsia" w:ascii="宋体" w:hAnsi="宋体" w:eastAsia="宋体" w:cs="宋体"/>
          <w:sz w:val="21"/>
          <w:szCs w:val="20"/>
          <w:lang w:val="en-US" w:bidi="ar-SA"/>
        </w:rPr>
        <w:t>3.4具有履行合同所必需的设备和专业技术能力。</w:t>
      </w:r>
    </w:p>
    <w:p>
      <w:pPr>
        <w:widowControl/>
        <w:autoSpaceDE/>
        <w:autoSpaceDN/>
        <w:spacing w:before="0" w:after="0" w:line="240" w:lineRule="auto"/>
        <w:ind w:left="0" w:right="0" w:firstLine="435"/>
        <w:jc w:val="left"/>
        <w:rPr>
          <w:rFonts w:ascii="宋体" w:hAnsi="宋体" w:eastAsia="宋体" w:cs="宋体"/>
          <w:sz w:val="21"/>
          <w:szCs w:val="20"/>
          <w:lang w:val="en-US" w:bidi="ar-SA"/>
        </w:rPr>
      </w:pPr>
      <w:r>
        <w:rPr>
          <w:rFonts w:hint="eastAsia" w:ascii="宋体" w:hAnsi="宋体" w:eastAsia="宋体" w:cs="宋体"/>
          <w:sz w:val="21"/>
          <w:szCs w:val="20"/>
          <w:lang w:val="en-US" w:bidi="ar-SA"/>
        </w:rPr>
        <w:t>3.5参加政府采购活动前三年内，在经营活动中没有重大违法记录。</w:t>
      </w:r>
    </w:p>
    <w:p>
      <w:pPr>
        <w:widowControl/>
        <w:autoSpaceDE/>
        <w:autoSpaceDN/>
        <w:spacing w:before="0" w:after="0" w:line="240" w:lineRule="auto"/>
        <w:ind w:left="0" w:right="0" w:firstLine="435"/>
        <w:jc w:val="left"/>
        <w:rPr>
          <w:rFonts w:ascii="宋体" w:hAnsi="宋体" w:eastAsia="宋体" w:cs="宋体"/>
          <w:sz w:val="21"/>
          <w:szCs w:val="20"/>
          <w:lang w:val="en-US" w:bidi="ar-SA"/>
        </w:rPr>
      </w:pPr>
      <w:r>
        <w:rPr>
          <w:rFonts w:hint="eastAsia" w:ascii="宋体" w:hAnsi="宋体" w:eastAsia="宋体" w:cs="宋体"/>
          <w:sz w:val="21"/>
          <w:szCs w:val="20"/>
          <w:lang w:val="en-US" w:bidi="ar-SA"/>
        </w:rPr>
        <w:t>注：“重大违法”是指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widowControl/>
        <w:autoSpaceDE/>
        <w:autoSpaceDN/>
        <w:spacing w:before="0" w:after="0" w:line="240" w:lineRule="auto"/>
        <w:ind w:left="0" w:right="0" w:firstLine="435"/>
        <w:jc w:val="left"/>
        <w:rPr>
          <w:rFonts w:ascii="宋体" w:hAnsi="宋体" w:eastAsia="宋体" w:cs="宋体"/>
          <w:sz w:val="21"/>
          <w:szCs w:val="20"/>
          <w:lang w:val="en-US" w:bidi="ar-SA"/>
        </w:rPr>
      </w:pPr>
      <w:r>
        <w:rPr>
          <w:rFonts w:hint="eastAsia" w:ascii="宋体" w:hAnsi="宋体" w:eastAsia="宋体" w:cs="宋体"/>
          <w:sz w:val="21"/>
          <w:szCs w:val="20"/>
          <w:lang w:val="en-US" w:bidi="ar-SA"/>
        </w:rPr>
        <w:t>3.6法律、行政法规规定的其他条件。</w:t>
      </w:r>
    </w:p>
    <w:p>
      <w:pPr>
        <w:widowControl/>
        <w:autoSpaceDE/>
        <w:autoSpaceDN/>
        <w:spacing w:before="0" w:after="0" w:line="240" w:lineRule="auto"/>
        <w:ind w:left="0" w:right="0" w:firstLine="435"/>
        <w:jc w:val="left"/>
        <w:rPr>
          <w:rFonts w:ascii="宋体" w:hAnsi="宋体" w:eastAsia="宋体" w:cs="宋体"/>
          <w:sz w:val="21"/>
          <w:szCs w:val="20"/>
          <w:lang w:val="en-US" w:bidi="ar-SA"/>
        </w:rPr>
      </w:pPr>
      <w:r>
        <w:rPr>
          <w:rFonts w:hint="eastAsia" w:ascii="宋体" w:hAnsi="宋体" w:eastAsia="宋体" w:cs="宋体"/>
          <w:sz w:val="21"/>
          <w:szCs w:val="20"/>
          <w:lang w:val="en-US" w:bidi="ar-SA"/>
        </w:rPr>
        <w:t>4.单位负责人为同一人或者存在直接控股、管理关系的不同投标人，不得参加同一合同项下的政府采购活动。</w:t>
      </w:r>
    </w:p>
    <w:p>
      <w:pPr>
        <w:widowControl/>
        <w:autoSpaceDE/>
        <w:autoSpaceDN/>
        <w:spacing w:before="0" w:after="0" w:line="240" w:lineRule="auto"/>
        <w:ind w:left="0" w:right="0" w:firstLine="435"/>
        <w:jc w:val="left"/>
        <w:rPr>
          <w:rFonts w:ascii="宋体" w:hAnsi="宋体" w:eastAsia="宋体" w:cs="宋体"/>
          <w:sz w:val="21"/>
          <w:szCs w:val="20"/>
          <w:lang w:val="en-US" w:bidi="ar-SA"/>
        </w:rPr>
      </w:pPr>
      <w:r>
        <w:rPr>
          <w:rFonts w:hint="eastAsia" w:ascii="宋体" w:hAnsi="宋体" w:eastAsia="宋体" w:cs="宋体"/>
          <w:sz w:val="21"/>
          <w:szCs w:val="20"/>
          <w:lang w:val="en-US" w:bidi="ar-SA"/>
        </w:rPr>
        <w:t>5.为采购项目提供整体设计、规范编制或者项目管理、监理、检测等服务的投标人，不得再参加该采购项目同一合同项下的其他采购活动。</w:t>
      </w:r>
    </w:p>
    <w:p>
      <w:pPr>
        <w:widowControl/>
        <w:tabs>
          <w:tab w:val="left" w:pos="960"/>
        </w:tabs>
        <w:autoSpaceDE/>
        <w:autoSpaceDN/>
        <w:spacing w:before="0" w:after="0" w:line="240" w:lineRule="auto"/>
        <w:ind w:left="0" w:right="0" w:firstLine="435"/>
        <w:jc w:val="left"/>
        <w:rPr>
          <w:rFonts w:hint="eastAsia" w:ascii="宋体" w:hAnsi="宋体" w:eastAsia="宋体" w:cs="宋体"/>
          <w:sz w:val="21"/>
          <w:szCs w:val="20"/>
          <w:lang w:val="en-US" w:bidi="ar-SA"/>
        </w:rPr>
      </w:pPr>
      <w:r>
        <w:rPr>
          <w:rFonts w:hint="eastAsia" w:ascii="宋体" w:hAnsi="宋体" w:eastAsia="宋体" w:cs="宋体"/>
          <w:sz w:val="21"/>
          <w:szCs w:val="20"/>
          <w:lang w:val="en-US" w:bidi="ar-SA"/>
        </w:rPr>
        <w:t>附资格文件如下：</w:t>
      </w:r>
    </w:p>
    <w:p>
      <w:pPr>
        <w:widowControl/>
        <w:tabs>
          <w:tab w:val="left" w:pos="960"/>
        </w:tabs>
        <w:autoSpaceDE/>
        <w:autoSpaceDN/>
        <w:spacing w:before="0" w:after="0" w:line="240" w:lineRule="auto"/>
        <w:ind w:left="0" w:right="0" w:firstLine="435"/>
        <w:jc w:val="left"/>
        <w:rPr>
          <w:rFonts w:hint="eastAsia" w:ascii="宋体" w:hAnsi="宋体" w:eastAsia="宋体" w:cs="宋体"/>
          <w:sz w:val="21"/>
          <w:szCs w:val="20"/>
          <w:lang w:val="en-US" w:bidi="ar-SA"/>
        </w:rPr>
      </w:pPr>
      <w:r>
        <w:rPr>
          <w:rFonts w:hint="eastAsia" w:ascii="宋体" w:hAnsi="宋体" w:eastAsia="宋体" w:cs="宋体"/>
          <w:sz w:val="21"/>
          <w:szCs w:val="20"/>
          <w:lang w:val="en-US" w:bidi="ar-SA"/>
        </w:rPr>
        <w:t>（1）提供在中华人民共和国境内注册的法人或其他组织的营业执照或事业单位法人证书或社会团体法人登记证书复印件，如投标人为自然人的提供自然人身份证明复印件；如国家另有规定的，则从其规定，以上内容须加盖投标人公章；分支机构投标，须取得具有法人资格的总公司（总所）出具给分支机构的授权书，并提供总公司（总所）和分支机构的营业执照（执业许可证）复印件加盖投标人公章。已由总公司（总所）授权的，总公司（总所）取得的相关资质证书对分支机构有效，法律法规或者行业另有规定的除外；</w:t>
      </w:r>
    </w:p>
    <w:p>
      <w:pPr>
        <w:widowControl/>
        <w:tabs>
          <w:tab w:val="left" w:pos="960"/>
        </w:tabs>
        <w:autoSpaceDE/>
        <w:autoSpaceDN/>
        <w:spacing w:before="0" w:after="0" w:line="240" w:lineRule="auto"/>
        <w:ind w:left="0" w:right="0" w:firstLine="435"/>
        <w:jc w:val="left"/>
        <w:rPr>
          <w:rFonts w:hint="eastAsia" w:ascii="宋体" w:hAnsi="宋体" w:eastAsia="宋体" w:cs="宋体"/>
          <w:sz w:val="21"/>
          <w:szCs w:val="20"/>
          <w:lang w:val="en-US" w:bidi="ar-SA"/>
        </w:rPr>
      </w:pPr>
      <w:r>
        <w:rPr>
          <w:rFonts w:hint="eastAsia" w:ascii="宋体" w:hAnsi="宋体" w:eastAsia="宋体" w:cs="宋体"/>
          <w:sz w:val="21"/>
          <w:szCs w:val="20"/>
          <w:lang w:val="en-US" w:bidi="ar-SA"/>
        </w:rPr>
        <w:t>（2）提供有效的法定代表人/负责人/自然人资格证明书及授权委托书；</w:t>
      </w:r>
    </w:p>
    <w:p>
      <w:pPr>
        <w:widowControl/>
        <w:tabs>
          <w:tab w:val="left" w:pos="960"/>
        </w:tabs>
        <w:autoSpaceDE/>
        <w:autoSpaceDN/>
        <w:spacing w:before="0" w:after="0" w:line="240" w:lineRule="auto"/>
        <w:ind w:left="0" w:right="0" w:firstLine="435"/>
        <w:jc w:val="left"/>
        <w:rPr>
          <w:rFonts w:hint="eastAsia" w:ascii="宋体" w:hAnsi="宋体" w:eastAsia="宋体" w:cs="宋体"/>
          <w:sz w:val="21"/>
          <w:szCs w:val="20"/>
          <w:lang w:val="en-US" w:bidi="ar-SA"/>
        </w:rPr>
      </w:pPr>
      <w:r>
        <w:rPr>
          <w:rFonts w:hint="eastAsia" w:ascii="宋体" w:hAnsi="宋体" w:eastAsia="宋体" w:cs="宋体"/>
          <w:sz w:val="21"/>
          <w:szCs w:val="20"/>
          <w:lang w:val="en-US" w:bidi="ar-SA"/>
        </w:rPr>
        <w:t>（3）提供《中小企业声明函》或属于监狱企业的证明材料或《残疾人福利性单位声明函》；（如“申请人的资格要求”有要求时必须提供）</w:t>
      </w:r>
    </w:p>
    <w:p>
      <w:pPr>
        <w:widowControl/>
        <w:tabs>
          <w:tab w:val="left" w:pos="960"/>
        </w:tabs>
        <w:autoSpaceDE/>
        <w:autoSpaceDN/>
        <w:spacing w:before="0" w:after="0" w:line="240" w:lineRule="auto"/>
        <w:ind w:left="0" w:right="0" w:firstLine="435"/>
        <w:jc w:val="left"/>
        <w:rPr>
          <w:rFonts w:ascii="宋体" w:hAnsi="宋体" w:eastAsia="宋体" w:cs="宋体"/>
          <w:sz w:val="21"/>
          <w:szCs w:val="20"/>
          <w:lang w:val="en-US" w:bidi="ar-SA"/>
        </w:rPr>
      </w:pPr>
      <w:r>
        <w:rPr>
          <w:rFonts w:hint="eastAsia" w:ascii="宋体" w:hAnsi="宋体" w:eastAsia="宋体" w:cs="宋体"/>
          <w:sz w:val="21"/>
          <w:szCs w:val="20"/>
          <w:lang w:val="en-US" w:bidi="ar-SA"/>
        </w:rPr>
        <w:t>（4）投标人认为有必要提供的相关证明文件（如有）。</w:t>
      </w:r>
    </w:p>
    <w:p>
      <w:pPr>
        <w:widowControl/>
        <w:autoSpaceDE/>
        <w:autoSpaceDN/>
        <w:spacing w:before="0" w:after="0" w:line="240" w:lineRule="auto"/>
        <w:ind w:left="0" w:right="0"/>
        <w:jc w:val="left"/>
        <w:rPr>
          <w:rFonts w:ascii="Times New Roman" w:hAnsi="Times New Roman" w:eastAsia="宋体" w:cs="Times New Roman"/>
          <w:sz w:val="21"/>
          <w:szCs w:val="20"/>
          <w:lang w:val="en-US" w:bidi="ar-SA"/>
        </w:rPr>
      </w:pPr>
    </w:p>
    <w:p>
      <w:pPr>
        <w:widowControl/>
        <w:autoSpaceDE/>
        <w:autoSpaceDN/>
        <w:snapToGrid w:val="0"/>
        <w:spacing w:before="0" w:after="0" w:line="240" w:lineRule="auto"/>
        <w:ind w:left="0" w:right="0"/>
        <w:jc w:val="both"/>
        <w:rPr>
          <w:rFonts w:ascii="宋体" w:hAnsi="宋体" w:eastAsia="宋体" w:cs="宋体"/>
          <w:sz w:val="21"/>
          <w:szCs w:val="20"/>
          <w:lang w:val="en-US" w:bidi="ar-SA"/>
        </w:rPr>
      </w:pPr>
      <w:r>
        <w:rPr>
          <w:rFonts w:hint="eastAsia" w:ascii="宋体" w:hAnsi="宋体" w:eastAsia="宋体" w:cs="宋体"/>
          <w:sz w:val="21"/>
          <w:szCs w:val="20"/>
          <w:lang w:val="en-US" w:bidi="ar-SA"/>
        </w:rPr>
        <w:t xml:space="preserve">投标人授权代表签字或签章：          </w:t>
      </w:r>
    </w:p>
    <w:p>
      <w:pPr>
        <w:widowControl/>
        <w:autoSpaceDE/>
        <w:autoSpaceDN/>
        <w:snapToGrid w:val="0"/>
        <w:spacing w:before="0" w:after="0" w:line="240" w:lineRule="auto"/>
        <w:ind w:left="0" w:right="0"/>
        <w:jc w:val="both"/>
        <w:rPr>
          <w:rFonts w:ascii="宋体" w:hAnsi="宋体" w:eastAsia="宋体" w:cs="宋体"/>
          <w:sz w:val="21"/>
          <w:szCs w:val="20"/>
          <w:lang w:val="en-US" w:bidi="ar-SA"/>
        </w:rPr>
      </w:pPr>
      <w:r>
        <w:rPr>
          <w:rFonts w:hint="eastAsia" w:ascii="宋体" w:hAnsi="宋体" w:eastAsia="宋体" w:cs="宋体"/>
          <w:sz w:val="21"/>
          <w:szCs w:val="20"/>
          <w:lang w:val="en-US" w:bidi="ar-SA"/>
        </w:rPr>
        <w:t xml:space="preserve">投标人名称（加盖投标人公章）：                   </w:t>
      </w:r>
    </w:p>
    <w:p>
      <w:pPr>
        <w:widowControl/>
        <w:autoSpaceDE/>
        <w:autoSpaceDN/>
        <w:snapToGrid w:val="0"/>
        <w:spacing w:before="0" w:after="0" w:line="240" w:lineRule="auto"/>
        <w:ind w:left="0" w:right="0"/>
        <w:jc w:val="both"/>
        <w:rPr>
          <w:rFonts w:ascii="宋体" w:hAnsi="宋体" w:eastAsia="宋体" w:cs="宋体"/>
          <w:sz w:val="21"/>
          <w:szCs w:val="20"/>
          <w:lang w:val="en-US" w:bidi="ar-SA"/>
        </w:rPr>
      </w:pPr>
      <w:r>
        <w:rPr>
          <w:rFonts w:hint="eastAsia" w:ascii="宋体" w:hAnsi="宋体" w:eastAsia="宋体" w:cs="宋体"/>
          <w:sz w:val="21"/>
          <w:szCs w:val="20"/>
          <w:lang w:val="en-US" w:bidi="ar-SA"/>
        </w:rPr>
        <w:t xml:space="preserve">日期：         </w:t>
      </w:r>
    </w:p>
    <w:p>
      <w:pPr>
        <w:widowControl/>
        <w:autoSpaceDE/>
        <w:autoSpaceDN/>
        <w:spacing w:before="0" w:after="0" w:line="240" w:lineRule="auto"/>
        <w:ind w:left="0" w:right="0"/>
        <w:jc w:val="left"/>
        <w:rPr>
          <w:rFonts w:hint="eastAsia" w:ascii="宋体" w:hAnsi="宋体" w:eastAsia="宋体" w:cs="宋体"/>
          <w:b/>
          <w:sz w:val="24"/>
          <w:szCs w:val="24"/>
          <w:lang w:val="en-US" w:bidi="ar-SA"/>
        </w:rPr>
      </w:pPr>
      <w:r>
        <w:rPr>
          <w:rFonts w:ascii="Times New Roman" w:hAnsi="Times New Roman" w:eastAsia="宋体" w:cs="Times New Roman"/>
          <w:sz w:val="21"/>
          <w:szCs w:val="20"/>
          <w:lang w:val="zh-CN" w:bidi="ar-SA"/>
        </w:rPr>
        <w:br w:type="page"/>
      </w:r>
      <w:bookmarkStart w:id="40" w:name="_Toc3072"/>
      <w:r>
        <w:rPr>
          <w:rFonts w:hint="eastAsia" w:cs="宋体"/>
          <w:b/>
          <w:sz w:val="24"/>
          <w:szCs w:val="24"/>
          <w:lang w:val="en-US" w:eastAsia="zh-CN" w:bidi="ar-SA"/>
        </w:rPr>
        <w:t>四、</w:t>
      </w:r>
      <w:r>
        <w:rPr>
          <w:rFonts w:hint="eastAsia" w:ascii="宋体" w:hAnsi="宋体" w:eastAsia="宋体" w:cs="宋体"/>
          <w:b/>
          <w:sz w:val="24"/>
          <w:szCs w:val="24"/>
          <w:lang w:val="en-US" w:bidi="ar-SA"/>
        </w:rPr>
        <w:t>投标承诺书</w:t>
      </w:r>
      <w:bookmarkEnd w:id="40"/>
    </w:p>
    <w:p>
      <w:pPr>
        <w:pStyle w:val="13"/>
        <w:widowControl/>
        <w:autoSpaceDE/>
        <w:autoSpaceDN/>
        <w:spacing w:before="0" w:after="0"/>
        <w:ind w:left="0" w:right="0"/>
        <w:rPr>
          <w:rFonts w:hint="eastAsia" w:hAnsi="宋体" w:eastAsia="宋体" w:cs="宋体"/>
        </w:rPr>
      </w:pPr>
      <w:r>
        <w:rPr>
          <w:rFonts w:hint="eastAsia" w:hAnsi="宋体" w:eastAsia="宋体" w:cs="宋体"/>
        </w:rPr>
        <w:t>投标承诺书</w:t>
      </w:r>
    </w:p>
    <w:p>
      <w:pPr>
        <w:widowControl/>
        <w:tabs>
          <w:tab w:val="left" w:pos="3960"/>
        </w:tabs>
        <w:autoSpaceDE/>
        <w:autoSpaceDN/>
        <w:spacing w:before="0" w:after="0" w:line="480" w:lineRule="exact"/>
        <w:ind w:left="0" w:right="0"/>
        <w:jc w:val="center"/>
        <w:rPr>
          <w:rFonts w:hint="eastAsia" w:ascii="宋体" w:hAnsi="宋体" w:eastAsia="宋体" w:cs="宋体"/>
          <w:sz w:val="24"/>
          <w:szCs w:val="24"/>
          <w:lang w:val="en-US" w:bidi="ar-SA"/>
        </w:rPr>
      </w:pPr>
    </w:p>
    <w:p>
      <w:pPr>
        <w:widowControl/>
        <w:autoSpaceDE/>
        <w:autoSpaceDN/>
        <w:spacing w:before="0" w:after="120" w:afterLines="50" w:line="360" w:lineRule="auto"/>
        <w:ind w:left="0" w:right="0"/>
        <w:jc w:val="left"/>
        <w:rPr>
          <w:rFonts w:hint="eastAsia" w:ascii="宋体" w:hAnsi="宋体" w:eastAsia="宋体" w:cs="宋体"/>
          <w:b/>
          <w:sz w:val="21"/>
          <w:szCs w:val="21"/>
          <w:u w:val="single"/>
          <w:lang w:val="en-US" w:bidi="ar-SA"/>
        </w:rPr>
      </w:pPr>
      <w:r>
        <w:rPr>
          <w:rFonts w:hint="eastAsia" w:ascii="宋体" w:hAnsi="宋体" w:eastAsia="宋体" w:cs="宋体"/>
          <w:b/>
          <w:sz w:val="21"/>
          <w:szCs w:val="21"/>
          <w:u w:val="single"/>
          <w:lang w:val="en-US" w:bidi="ar-SA"/>
        </w:rPr>
        <w:t>珠海市香洲区第二人民医院：</w:t>
      </w:r>
    </w:p>
    <w:p>
      <w:pPr>
        <w:widowControl/>
        <w:autoSpaceDE/>
        <w:autoSpaceDN/>
        <w:spacing w:before="0" w:after="0" w:line="360" w:lineRule="auto"/>
        <w:ind w:left="0" w:right="0" w:firstLine="420" w:firstLineChars="200"/>
        <w:jc w:val="left"/>
        <w:rPr>
          <w:rFonts w:hint="eastAsia" w:ascii="宋体" w:hAnsi="宋体" w:eastAsia="宋体" w:cs="宋体"/>
          <w:sz w:val="21"/>
          <w:szCs w:val="21"/>
          <w:lang w:val="en-US" w:bidi="ar-SA"/>
        </w:rPr>
      </w:pPr>
      <w:r>
        <w:rPr>
          <w:rFonts w:hint="eastAsia" w:ascii="宋体" w:hAnsi="宋体" w:eastAsia="宋体" w:cs="宋体"/>
          <w:sz w:val="21"/>
          <w:szCs w:val="21"/>
          <w:lang w:val="en-US" w:bidi="ar-SA"/>
        </w:rPr>
        <w:t>本投标人已详细阅读了</w:t>
      </w:r>
      <w:r>
        <w:rPr>
          <w:rFonts w:hint="eastAsia" w:ascii="宋体" w:hAnsi="宋体" w:eastAsia="宋体" w:cs="Times New Roman"/>
          <w:sz w:val="21"/>
          <w:szCs w:val="21"/>
          <w:u w:val="single"/>
          <w:lang w:val="en-US" w:eastAsia="zh-CN" w:bidi="ar-SA"/>
        </w:rPr>
        <w:t xml:space="preserve">                 </w:t>
      </w:r>
      <w:r>
        <w:rPr>
          <w:rFonts w:hint="eastAsia" w:ascii="宋体" w:hAnsi="宋体" w:eastAsia="宋体" w:cs="Times New Roman"/>
          <w:sz w:val="21"/>
          <w:szCs w:val="21"/>
          <w:lang w:val="en-US" w:bidi="ar-SA"/>
        </w:rPr>
        <w:t>项目</w:t>
      </w:r>
      <w:r>
        <w:rPr>
          <w:rFonts w:hint="eastAsia" w:ascii="宋体" w:hAnsi="宋体" w:eastAsia="宋体" w:cs="Times New Roman"/>
          <w:sz w:val="21"/>
          <w:szCs w:val="21"/>
          <w:u w:val="single"/>
          <w:lang w:val="en-US" w:bidi="ar-SA"/>
        </w:rPr>
        <w:t>（项目编号：</w:t>
      </w:r>
      <w:r>
        <w:rPr>
          <w:rFonts w:hint="eastAsia" w:ascii="宋体" w:hAnsi="宋体" w:eastAsia="宋体" w:cs="Times New Roman"/>
          <w:sz w:val="21"/>
          <w:szCs w:val="21"/>
          <w:u w:val="single"/>
          <w:lang w:val="en-US" w:eastAsia="zh-CN" w:bidi="ar-SA"/>
        </w:rPr>
        <w:t xml:space="preserve">                </w:t>
      </w:r>
      <w:r>
        <w:rPr>
          <w:rFonts w:hint="eastAsia" w:ascii="宋体" w:hAnsi="宋体" w:eastAsia="宋体" w:cs="Times New Roman"/>
          <w:sz w:val="21"/>
          <w:szCs w:val="21"/>
          <w:u w:val="single"/>
          <w:lang w:val="en-US" w:bidi="ar-SA"/>
        </w:rPr>
        <w:t>）</w:t>
      </w:r>
      <w:r>
        <w:rPr>
          <w:rFonts w:hint="eastAsia" w:ascii="宋体" w:hAnsi="宋体" w:eastAsia="宋体" w:cs="宋体"/>
          <w:sz w:val="21"/>
          <w:szCs w:val="21"/>
          <w:lang w:val="en-US" w:bidi="ar-SA"/>
        </w:rPr>
        <w:t>招标文件，自愿参加上述项目投标，现就有关事项向采购人郑重承诺如下：</w:t>
      </w:r>
    </w:p>
    <w:p>
      <w:pPr>
        <w:widowControl/>
        <w:autoSpaceDE/>
        <w:autoSpaceDN/>
        <w:spacing w:before="0" w:after="0" w:line="360" w:lineRule="auto"/>
        <w:ind w:left="0" w:right="0" w:firstLine="420" w:firstLineChars="200"/>
        <w:jc w:val="left"/>
        <w:rPr>
          <w:rFonts w:hint="eastAsia" w:ascii="宋体" w:hAnsi="宋体" w:eastAsia="宋体" w:cs="宋体"/>
          <w:sz w:val="21"/>
          <w:szCs w:val="21"/>
          <w:lang w:val="en-US" w:bidi="ar-SA"/>
        </w:rPr>
      </w:pPr>
      <w:r>
        <w:rPr>
          <w:rFonts w:hint="eastAsia" w:ascii="宋体" w:hAnsi="宋体" w:eastAsia="宋体" w:cs="宋体"/>
          <w:sz w:val="21"/>
          <w:szCs w:val="21"/>
          <w:lang w:val="en-US" w:bidi="ar-SA"/>
        </w:rPr>
        <w:t>1.本投标人自愿在</w:t>
      </w:r>
      <w:r>
        <w:rPr>
          <w:rFonts w:hint="eastAsia" w:ascii="Times New Roman" w:hAnsi="宋体" w:eastAsia="宋体" w:cs="宋体"/>
          <w:sz w:val="21"/>
          <w:szCs w:val="21"/>
          <w:lang w:val="en-US" w:bidi="ar-SA"/>
        </w:rPr>
        <w:t>招标文件</w:t>
      </w:r>
      <w:r>
        <w:rPr>
          <w:rFonts w:hint="eastAsia" w:ascii="宋体" w:hAnsi="宋体" w:eastAsia="宋体" w:cs="宋体"/>
          <w:sz w:val="21"/>
          <w:szCs w:val="21"/>
          <w:lang w:val="en-US" w:bidi="ar-SA"/>
        </w:rPr>
        <w:t>规定的时限内按照</w:t>
      </w:r>
      <w:r>
        <w:rPr>
          <w:rFonts w:hint="eastAsia" w:ascii="Times New Roman" w:hAnsi="宋体" w:eastAsia="宋体" w:cs="宋体"/>
          <w:sz w:val="21"/>
          <w:szCs w:val="21"/>
          <w:lang w:val="en-US" w:bidi="ar-SA"/>
        </w:rPr>
        <w:t>招标文件</w:t>
      </w:r>
      <w:r>
        <w:rPr>
          <w:rFonts w:hint="eastAsia" w:ascii="宋体" w:hAnsi="宋体" w:eastAsia="宋体" w:cs="宋体"/>
          <w:sz w:val="21"/>
          <w:szCs w:val="21"/>
          <w:lang w:val="en-US" w:bidi="ar-SA"/>
        </w:rPr>
        <w:t>及采购合同、</w:t>
      </w:r>
      <w:r>
        <w:rPr>
          <w:rFonts w:hint="eastAsia" w:ascii="Times New Roman" w:hAnsi="宋体" w:eastAsia="宋体" w:cs="宋体"/>
          <w:sz w:val="21"/>
          <w:szCs w:val="21"/>
          <w:lang w:val="en-US" w:bidi="ar-SA"/>
        </w:rPr>
        <w:t>用户需求书</w:t>
      </w:r>
      <w:r>
        <w:rPr>
          <w:rFonts w:hint="eastAsia" w:ascii="宋体" w:hAnsi="宋体" w:eastAsia="宋体" w:cs="宋体"/>
          <w:sz w:val="21"/>
          <w:szCs w:val="21"/>
          <w:lang w:val="en-US" w:bidi="ar-SA"/>
        </w:rPr>
        <w:t>、技术规范等要求完成采购任务，按时完成并验收合格。服务质量按照投标文件的承诺并满足</w:t>
      </w:r>
      <w:r>
        <w:rPr>
          <w:rFonts w:hint="eastAsia" w:ascii="Times New Roman" w:hAnsi="宋体" w:eastAsia="宋体" w:cs="宋体"/>
          <w:sz w:val="21"/>
          <w:szCs w:val="21"/>
          <w:lang w:val="en-US" w:bidi="ar-SA"/>
        </w:rPr>
        <w:t>招标文件</w:t>
      </w:r>
      <w:r>
        <w:rPr>
          <w:rFonts w:hint="eastAsia" w:ascii="宋体" w:hAnsi="宋体" w:eastAsia="宋体" w:cs="宋体"/>
          <w:sz w:val="21"/>
          <w:szCs w:val="21"/>
          <w:lang w:val="en-US" w:bidi="ar-SA"/>
        </w:rPr>
        <w:t>要求。</w:t>
      </w:r>
    </w:p>
    <w:p>
      <w:pPr>
        <w:widowControl/>
        <w:autoSpaceDE/>
        <w:autoSpaceDN/>
        <w:spacing w:before="0" w:after="0" w:line="360" w:lineRule="auto"/>
        <w:ind w:left="0" w:right="0" w:firstLine="420" w:firstLineChars="200"/>
        <w:jc w:val="left"/>
        <w:rPr>
          <w:rFonts w:hint="eastAsia" w:ascii="宋体" w:hAnsi="宋体" w:eastAsia="宋体" w:cs="宋体"/>
          <w:sz w:val="21"/>
          <w:szCs w:val="21"/>
          <w:lang w:val="en-US" w:bidi="ar-SA"/>
        </w:rPr>
      </w:pPr>
      <w:r>
        <w:rPr>
          <w:rFonts w:hint="eastAsia" w:ascii="宋体" w:hAnsi="宋体" w:eastAsia="宋体" w:cs="宋体"/>
          <w:sz w:val="21"/>
          <w:szCs w:val="21"/>
          <w:lang w:val="en-US" w:bidi="ar-SA"/>
        </w:rPr>
        <w:t>2.保证投标文件内容无任何虚假。若评标过程中查出有虚假，同意作无效投标文件处理并被没收投标担保，若中标之后查出有虚假，同意废除中标资格并被没收投标担保。</w:t>
      </w:r>
    </w:p>
    <w:p>
      <w:pPr>
        <w:widowControl/>
        <w:autoSpaceDE/>
        <w:autoSpaceDN/>
        <w:spacing w:before="0" w:after="0" w:line="360" w:lineRule="auto"/>
        <w:ind w:left="0" w:right="0" w:firstLine="420" w:firstLineChars="200"/>
        <w:jc w:val="left"/>
        <w:rPr>
          <w:rFonts w:hint="eastAsia" w:ascii="宋体" w:hAnsi="宋体" w:eastAsia="宋体" w:cs="宋体"/>
          <w:sz w:val="21"/>
          <w:szCs w:val="21"/>
          <w:lang w:val="en-US" w:bidi="ar-SA"/>
        </w:rPr>
      </w:pPr>
      <w:r>
        <w:rPr>
          <w:rFonts w:hint="eastAsia" w:ascii="Times New Roman" w:hAnsi="宋体" w:eastAsia="宋体" w:cs="宋体"/>
          <w:sz w:val="21"/>
          <w:szCs w:val="21"/>
          <w:lang w:val="en-US" w:bidi="ar-SA"/>
        </w:rPr>
        <w:t>3</w:t>
      </w:r>
      <w:r>
        <w:rPr>
          <w:rFonts w:hint="eastAsia" w:ascii="宋体" w:hAnsi="宋体" w:eastAsia="宋体" w:cs="宋体"/>
          <w:sz w:val="21"/>
          <w:szCs w:val="21"/>
          <w:lang w:val="en-US" w:bidi="ar-SA"/>
        </w:rPr>
        <w:t>.保证投标文件不存在低于成本的恶意报价行为。</w:t>
      </w:r>
    </w:p>
    <w:p>
      <w:pPr>
        <w:widowControl/>
        <w:autoSpaceDE/>
        <w:autoSpaceDN/>
        <w:spacing w:before="0" w:after="0" w:line="360" w:lineRule="auto"/>
        <w:ind w:left="0" w:right="0" w:firstLine="420" w:firstLineChars="200"/>
        <w:jc w:val="left"/>
        <w:rPr>
          <w:rFonts w:hint="eastAsia" w:ascii="宋体" w:hAnsi="宋体" w:eastAsia="宋体" w:cs="宋体"/>
          <w:sz w:val="21"/>
          <w:szCs w:val="21"/>
          <w:lang w:val="en-US" w:bidi="ar-SA"/>
        </w:rPr>
      </w:pPr>
      <w:r>
        <w:rPr>
          <w:rFonts w:hint="eastAsia" w:ascii="Times New Roman" w:hAnsi="宋体" w:eastAsia="宋体" w:cs="宋体"/>
          <w:sz w:val="21"/>
          <w:szCs w:val="21"/>
          <w:lang w:val="en-US" w:bidi="ar-SA"/>
        </w:rPr>
        <w:t>4</w:t>
      </w:r>
      <w:r>
        <w:rPr>
          <w:rFonts w:hint="eastAsia" w:ascii="宋体" w:hAnsi="宋体" w:eastAsia="宋体" w:cs="宋体"/>
          <w:sz w:val="21"/>
          <w:szCs w:val="21"/>
          <w:lang w:val="en-US" w:bidi="ar-SA"/>
        </w:rPr>
        <w:t>.保证按照</w:t>
      </w:r>
      <w:r>
        <w:rPr>
          <w:rFonts w:hint="eastAsia" w:ascii="Times New Roman" w:hAnsi="宋体" w:eastAsia="宋体" w:cs="宋体"/>
          <w:sz w:val="21"/>
          <w:szCs w:val="21"/>
          <w:lang w:val="en-US" w:bidi="ar-SA"/>
        </w:rPr>
        <w:t>招标文件</w:t>
      </w:r>
      <w:r>
        <w:rPr>
          <w:rFonts w:hint="eastAsia" w:ascii="宋体" w:hAnsi="宋体" w:eastAsia="宋体" w:cs="宋体"/>
          <w:sz w:val="21"/>
          <w:szCs w:val="21"/>
          <w:lang w:val="en-US" w:bidi="ar-SA"/>
        </w:rPr>
        <w:t>及中标通知书规定提交履约保证金</w:t>
      </w:r>
      <w:r>
        <w:rPr>
          <w:rFonts w:hint="eastAsia" w:ascii="Times New Roman" w:hAnsi="宋体" w:eastAsia="宋体" w:cs="宋体"/>
          <w:sz w:val="21"/>
          <w:szCs w:val="21"/>
          <w:lang w:val="en-US" w:bidi="ar-SA"/>
        </w:rPr>
        <w:t>（如有）</w:t>
      </w:r>
      <w:r>
        <w:rPr>
          <w:rFonts w:hint="eastAsia" w:ascii="宋体" w:hAnsi="宋体" w:eastAsia="宋体" w:cs="宋体"/>
          <w:sz w:val="21"/>
          <w:szCs w:val="21"/>
          <w:lang w:val="en-US" w:bidi="ar-SA"/>
        </w:rPr>
        <w:t>并商签采购合同，对</w:t>
      </w:r>
      <w:r>
        <w:rPr>
          <w:rFonts w:hint="eastAsia" w:ascii="Times New Roman" w:hAnsi="宋体" w:eastAsia="宋体" w:cs="宋体"/>
          <w:sz w:val="21"/>
          <w:szCs w:val="21"/>
          <w:lang w:val="en-US" w:bidi="ar-SA"/>
        </w:rPr>
        <w:t>招标文件</w:t>
      </w:r>
      <w:r>
        <w:rPr>
          <w:rFonts w:hint="eastAsia" w:ascii="宋体" w:hAnsi="宋体" w:eastAsia="宋体" w:cs="宋体"/>
          <w:sz w:val="21"/>
          <w:szCs w:val="21"/>
          <w:lang w:val="en-US" w:bidi="ar-SA"/>
        </w:rPr>
        <w:t>第五部分“合同文本”中的条款项下的内容完全响应，不作任何的偏离。否则，同意接受采购人违约处罚并被没收投标担保。</w:t>
      </w:r>
    </w:p>
    <w:p>
      <w:pPr>
        <w:widowControl/>
        <w:autoSpaceDE/>
        <w:autoSpaceDN/>
        <w:spacing w:before="0" w:after="0" w:line="360" w:lineRule="auto"/>
        <w:ind w:left="0" w:right="0" w:firstLine="420" w:firstLineChars="200"/>
        <w:jc w:val="left"/>
        <w:rPr>
          <w:rFonts w:hint="eastAsia" w:ascii="宋体" w:hAnsi="宋体" w:eastAsia="宋体" w:cs="宋体"/>
          <w:sz w:val="21"/>
          <w:szCs w:val="21"/>
          <w:lang w:val="en-US" w:bidi="ar-SA"/>
        </w:rPr>
      </w:pPr>
      <w:r>
        <w:rPr>
          <w:rFonts w:hint="eastAsia" w:ascii="Times New Roman" w:hAnsi="宋体" w:eastAsia="宋体" w:cs="宋体"/>
          <w:sz w:val="21"/>
          <w:szCs w:val="21"/>
          <w:lang w:val="en-US" w:bidi="ar-SA"/>
        </w:rPr>
        <w:t>5</w:t>
      </w:r>
      <w:r>
        <w:rPr>
          <w:rFonts w:hint="eastAsia" w:ascii="宋体" w:hAnsi="宋体" w:eastAsia="宋体" w:cs="宋体"/>
          <w:sz w:val="21"/>
          <w:szCs w:val="21"/>
          <w:lang w:val="en-US" w:bidi="ar-SA"/>
        </w:rPr>
        <w:t>.保证按照采购合同约定完成采购合同范围内的全部内容。否则，同意接受采购人对投标人违约处理并被没收履约保证金</w:t>
      </w:r>
      <w:r>
        <w:rPr>
          <w:rFonts w:hint="eastAsia" w:ascii="Times New Roman" w:hAnsi="宋体" w:eastAsia="宋体" w:cs="宋体"/>
          <w:sz w:val="21"/>
          <w:szCs w:val="21"/>
          <w:lang w:val="en-US" w:bidi="ar-SA"/>
        </w:rPr>
        <w:t>（如有）</w:t>
      </w:r>
      <w:r>
        <w:rPr>
          <w:rFonts w:hint="eastAsia" w:ascii="宋体" w:hAnsi="宋体" w:eastAsia="宋体" w:cs="宋体"/>
          <w:sz w:val="21"/>
          <w:szCs w:val="21"/>
          <w:lang w:val="en-US" w:bidi="ar-SA"/>
        </w:rPr>
        <w:t>。</w:t>
      </w:r>
    </w:p>
    <w:p>
      <w:pPr>
        <w:widowControl/>
        <w:autoSpaceDE/>
        <w:autoSpaceDN/>
        <w:spacing w:before="0" w:after="0" w:line="360" w:lineRule="auto"/>
        <w:ind w:left="0" w:right="0" w:firstLine="420" w:firstLineChars="200"/>
        <w:jc w:val="left"/>
        <w:rPr>
          <w:rFonts w:hint="eastAsia" w:ascii="宋体" w:hAnsi="宋体" w:eastAsia="宋体" w:cs="宋体"/>
          <w:sz w:val="21"/>
          <w:szCs w:val="21"/>
          <w:lang w:val="en-US" w:bidi="ar-SA"/>
        </w:rPr>
      </w:pPr>
      <w:r>
        <w:rPr>
          <w:rFonts w:hint="eastAsia" w:ascii="Times New Roman" w:hAnsi="宋体" w:eastAsia="宋体" w:cs="宋体"/>
          <w:sz w:val="21"/>
          <w:szCs w:val="21"/>
          <w:lang w:val="en-US" w:bidi="ar-SA"/>
        </w:rPr>
        <w:t>6</w:t>
      </w:r>
      <w:r>
        <w:rPr>
          <w:rFonts w:hint="eastAsia" w:ascii="宋体" w:hAnsi="宋体" w:eastAsia="宋体" w:cs="宋体"/>
          <w:sz w:val="21"/>
          <w:szCs w:val="21"/>
          <w:lang w:val="en-US" w:bidi="ar-SA"/>
        </w:rPr>
        <w:t>.保证中标之后不转包，若分包将征得采购人同意并遵守相关法律法规。</w:t>
      </w:r>
    </w:p>
    <w:p>
      <w:pPr>
        <w:widowControl/>
        <w:autoSpaceDE/>
        <w:autoSpaceDN/>
        <w:spacing w:before="0" w:after="0" w:line="360" w:lineRule="auto"/>
        <w:ind w:left="0" w:right="0" w:firstLine="420" w:firstLineChars="200"/>
        <w:jc w:val="left"/>
        <w:rPr>
          <w:rFonts w:hint="eastAsia" w:ascii="宋体" w:hAnsi="宋体" w:eastAsia="宋体" w:cs="宋体"/>
          <w:sz w:val="21"/>
          <w:szCs w:val="21"/>
          <w:lang w:val="en-US" w:bidi="ar-SA"/>
        </w:rPr>
      </w:pPr>
      <w:r>
        <w:rPr>
          <w:rFonts w:hint="eastAsia" w:ascii="Times New Roman" w:hAnsi="宋体" w:eastAsia="宋体" w:cs="宋体"/>
          <w:sz w:val="21"/>
          <w:szCs w:val="21"/>
          <w:lang w:val="en-US" w:bidi="ar-SA"/>
        </w:rPr>
        <w:t>7</w:t>
      </w:r>
      <w:r>
        <w:rPr>
          <w:rFonts w:hint="eastAsia" w:ascii="宋体" w:hAnsi="宋体" w:eastAsia="宋体" w:cs="宋体"/>
          <w:sz w:val="21"/>
          <w:szCs w:val="21"/>
          <w:lang w:val="en-US" w:bidi="ar-SA"/>
        </w:rPr>
        <w:t>.保证中标之后按</w:t>
      </w:r>
      <w:r>
        <w:rPr>
          <w:rFonts w:hint="eastAsia" w:ascii="Times New Roman" w:hAnsi="宋体" w:eastAsia="宋体" w:cs="宋体"/>
          <w:sz w:val="21"/>
          <w:szCs w:val="21"/>
          <w:lang w:val="en-US" w:bidi="ar-SA"/>
        </w:rPr>
        <w:t>招标文件</w:t>
      </w:r>
      <w:r>
        <w:rPr>
          <w:rFonts w:hint="eastAsia" w:ascii="宋体" w:hAnsi="宋体" w:eastAsia="宋体" w:cs="宋体"/>
          <w:sz w:val="21"/>
          <w:szCs w:val="21"/>
          <w:lang w:val="en-US" w:bidi="ar-SA"/>
        </w:rPr>
        <w:t>要求向招标项目配置承诺的资源，否则，同意接受违约处罚并被没收履约担保。</w:t>
      </w:r>
    </w:p>
    <w:p>
      <w:pPr>
        <w:widowControl/>
        <w:autoSpaceDE/>
        <w:autoSpaceDN/>
        <w:spacing w:before="0" w:after="0" w:line="360" w:lineRule="auto"/>
        <w:ind w:left="0" w:right="0" w:firstLine="420" w:firstLineChars="200"/>
        <w:jc w:val="left"/>
        <w:rPr>
          <w:rFonts w:hint="eastAsia" w:ascii="宋体" w:hAnsi="宋体" w:eastAsia="宋体" w:cs="宋体"/>
          <w:sz w:val="21"/>
          <w:szCs w:val="21"/>
          <w:lang w:val="en-US" w:bidi="ar-SA"/>
        </w:rPr>
      </w:pPr>
      <w:r>
        <w:rPr>
          <w:rFonts w:hint="eastAsia" w:ascii="Times New Roman" w:hAnsi="宋体" w:eastAsia="宋体" w:cs="宋体"/>
          <w:sz w:val="21"/>
          <w:szCs w:val="21"/>
          <w:lang w:val="en-US" w:bidi="ar-SA"/>
        </w:rPr>
        <w:t>8</w:t>
      </w:r>
      <w:r>
        <w:rPr>
          <w:rFonts w:hint="eastAsia" w:ascii="宋体" w:hAnsi="宋体" w:eastAsia="宋体" w:cs="宋体"/>
          <w:sz w:val="21"/>
          <w:szCs w:val="21"/>
          <w:lang w:val="en-US" w:bidi="ar-SA"/>
        </w:rPr>
        <w:t>.保证中标之后密切配合采购人开展工作，接受采购人的监督管理。</w:t>
      </w:r>
    </w:p>
    <w:p>
      <w:pPr>
        <w:widowControl/>
        <w:autoSpaceDE/>
        <w:autoSpaceDN/>
        <w:spacing w:before="0" w:after="0" w:line="360" w:lineRule="auto"/>
        <w:ind w:left="0" w:right="0" w:firstLine="420" w:firstLineChars="200"/>
        <w:jc w:val="left"/>
        <w:rPr>
          <w:rFonts w:hint="eastAsia" w:ascii="宋体" w:hAnsi="宋体" w:eastAsia="宋体" w:cs="宋体"/>
          <w:sz w:val="21"/>
          <w:szCs w:val="21"/>
          <w:lang w:val="en-US" w:bidi="ar-SA"/>
        </w:rPr>
      </w:pPr>
      <w:r>
        <w:rPr>
          <w:rFonts w:hint="eastAsia" w:ascii="Times New Roman" w:hAnsi="宋体" w:eastAsia="宋体" w:cs="宋体"/>
          <w:sz w:val="21"/>
          <w:szCs w:val="21"/>
          <w:lang w:val="en-US" w:bidi="ar-SA"/>
        </w:rPr>
        <w:t>9</w:t>
      </w:r>
      <w:r>
        <w:rPr>
          <w:rFonts w:hint="eastAsia" w:ascii="宋体" w:hAnsi="宋体" w:eastAsia="宋体" w:cs="宋体"/>
          <w:sz w:val="21"/>
          <w:szCs w:val="21"/>
          <w:lang w:val="en-US" w:bidi="ar-SA"/>
        </w:rPr>
        <w:t>.保证按</w:t>
      </w:r>
      <w:r>
        <w:rPr>
          <w:rFonts w:hint="eastAsia" w:ascii="Times New Roman" w:hAnsi="宋体" w:eastAsia="宋体" w:cs="宋体"/>
          <w:sz w:val="21"/>
          <w:szCs w:val="21"/>
          <w:lang w:val="en-US" w:bidi="ar-SA"/>
        </w:rPr>
        <w:t>招标文件</w:t>
      </w:r>
      <w:r>
        <w:rPr>
          <w:rFonts w:hint="eastAsia" w:ascii="宋体" w:hAnsi="宋体" w:eastAsia="宋体" w:cs="宋体"/>
          <w:sz w:val="21"/>
          <w:szCs w:val="21"/>
          <w:lang w:val="en-US" w:bidi="ar-SA"/>
        </w:rPr>
        <w:t>及采购合同约定的原则处理采购调整事宜，不发生签署采购合同之后恶意索赔的行为。</w:t>
      </w:r>
    </w:p>
    <w:p>
      <w:pPr>
        <w:widowControl/>
        <w:autoSpaceDE/>
        <w:autoSpaceDN/>
        <w:spacing w:before="0" w:after="0" w:line="360" w:lineRule="auto"/>
        <w:ind w:left="0" w:right="0" w:firstLine="420" w:firstLineChars="200"/>
        <w:jc w:val="left"/>
        <w:rPr>
          <w:rFonts w:hint="eastAsia" w:ascii="宋体" w:hAnsi="宋体" w:eastAsia="宋体" w:cs="宋体"/>
          <w:sz w:val="21"/>
          <w:szCs w:val="21"/>
          <w:lang w:val="en-US" w:bidi="ar-SA"/>
        </w:rPr>
      </w:pPr>
      <w:r>
        <w:rPr>
          <w:rFonts w:hint="eastAsia" w:ascii="宋体" w:hAnsi="宋体" w:eastAsia="宋体" w:cs="宋体"/>
          <w:sz w:val="21"/>
          <w:szCs w:val="21"/>
          <w:lang w:val="en-US" w:bidi="ar-SA"/>
        </w:rPr>
        <w:t>本投标人在规定的投标有效期限内，将受</w:t>
      </w:r>
      <w:r>
        <w:rPr>
          <w:rFonts w:hint="eastAsia" w:ascii="Times New Roman" w:hAnsi="宋体" w:eastAsia="宋体" w:cs="宋体"/>
          <w:sz w:val="21"/>
          <w:szCs w:val="21"/>
          <w:lang w:val="en-US" w:bidi="ar-SA"/>
        </w:rPr>
        <w:t>招标文件</w:t>
      </w:r>
      <w:r>
        <w:rPr>
          <w:rFonts w:hint="eastAsia" w:ascii="宋体" w:hAnsi="宋体" w:eastAsia="宋体" w:cs="宋体"/>
          <w:sz w:val="21"/>
          <w:szCs w:val="21"/>
          <w:lang w:val="en-US" w:bidi="ar-SA"/>
        </w:rPr>
        <w:t>的约束并履行投标文件的承诺。</w:t>
      </w:r>
    </w:p>
    <w:p>
      <w:pPr>
        <w:widowControl/>
        <w:autoSpaceDE/>
        <w:autoSpaceDN/>
        <w:adjustRightInd w:val="0"/>
        <w:snapToGrid w:val="0"/>
        <w:spacing w:before="0" w:after="0" w:line="360" w:lineRule="auto"/>
        <w:ind w:left="0" w:right="0"/>
        <w:jc w:val="left"/>
        <w:rPr>
          <w:rFonts w:hint="eastAsia" w:ascii="宋体" w:hAnsi="宋体" w:eastAsia="宋体" w:cs="宋体"/>
          <w:sz w:val="21"/>
          <w:szCs w:val="21"/>
          <w:lang w:val="en-US" w:bidi="ar-SA"/>
        </w:rPr>
      </w:pPr>
    </w:p>
    <w:p>
      <w:pPr>
        <w:widowControl/>
        <w:autoSpaceDE/>
        <w:autoSpaceDN/>
        <w:adjustRightInd w:val="0"/>
        <w:snapToGrid w:val="0"/>
        <w:spacing w:before="0" w:after="0" w:line="360" w:lineRule="auto"/>
        <w:ind w:left="0" w:right="0"/>
        <w:jc w:val="left"/>
        <w:rPr>
          <w:rFonts w:hint="eastAsia" w:ascii="宋体" w:hAnsi="宋体" w:eastAsia="宋体" w:cs="宋体"/>
          <w:sz w:val="21"/>
          <w:szCs w:val="21"/>
          <w:lang w:val="en-US" w:bidi="ar-SA"/>
        </w:rPr>
      </w:pPr>
      <w:r>
        <w:rPr>
          <w:rFonts w:hint="eastAsia" w:ascii="宋体" w:hAnsi="宋体" w:eastAsia="宋体" w:cs="宋体"/>
          <w:sz w:val="21"/>
          <w:szCs w:val="21"/>
          <w:lang w:val="en-US" w:bidi="ar-SA"/>
        </w:rPr>
        <w:t>投标人代表签字或者签章：</w:t>
      </w:r>
    </w:p>
    <w:p>
      <w:pPr>
        <w:widowControl/>
        <w:autoSpaceDE/>
        <w:autoSpaceDN/>
        <w:adjustRightInd w:val="0"/>
        <w:snapToGrid w:val="0"/>
        <w:spacing w:before="0" w:after="0" w:line="360" w:lineRule="auto"/>
        <w:ind w:left="0" w:right="0"/>
        <w:jc w:val="left"/>
        <w:rPr>
          <w:rFonts w:hint="eastAsia" w:ascii="宋体" w:hAnsi="宋体" w:eastAsia="宋体" w:cs="宋体"/>
          <w:sz w:val="21"/>
          <w:szCs w:val="21"/>
          <w:lang w:val="en-US" w:bidi="ar-SA"/>
        </w:rPr>
      </w:pPr>
      <w:r>
        <w:rPr>
          <w:rFonts w:hint="eastAsia" w:ascii="宋体" w:hAnsi="宋体" w:eastAsia="宋体" w:cs="宋体"/>
          <w:sz w:val="21"/>
          <w:szCs w:val="21"/>
          <w:lang w:val="en-US" w:bidi="ar-SA"/>
        </w:rPr>
        <w:t>投标人名称（加盖公章）：</w:t>
      </w:r>
    </w:p>
    <w:p>
      <w:pPr>
        <w:widowControl/>
        <w:autoSpaceDE/>
        <w:autoSpaceDN/>
        <w:adjustRightInd w:val="0"/>
        <w:snapToGrid w:val="0"/>
        <w:spacing w:before="0" w:after="0" w:line="360" w:lineRule="auto"/>
        <w:ind w:left="0" w:right="0"/>
        <w:jc w:val="left"/>
        <w:rPr>
          <w:rFonts w:hint="eastAsia" w:ascii="宋体" w:hAnsi="宋体" w:eastAsia="宋体" w:cs="宋体"/>
          <w:sz w:val="21"/>
          <w:szCs w:val="21"/>
          <w:lang w:val="en-US" w:bidi="ar-SA"/>
        </w:rPr>
      </w:pPr>
      <w:r>
        <w:rPr>
          <w:rFonts w:hint="eastAsia" w:ascii="宋体" w:hAnsi="宋体" w:eastAsia="宋体" w:cs="宋体"/>
          <w:sz w:val="21"/>
          <w:szCs w:val="21"/>
          <w:lang w:val="en-US" w:bidi="ar-SA"/>
        </w:rPr>
        <w:t>日期：</w:t>
      </w:r>
      <w:r>
        <w:rPr>
          <w:rFonts w:hint="eastAsia" w:ascii="宋体" w:hAnsi="宋体" w:eastAsia="宋体" w:cs="宋体"/>
          <w:sz w:val="21"/>
          <w:szCs w:val="21"/>
          <w:lang w:val="en-US" w:eastAsia="zh-CN" w:bidi="ar-SA"/>
        </w:rPr>
        <w:t xml:space="preserve">    </w:t>
      </w:r>
      <w:r>
        <w:rPr>
          <w:rFonts w:hint="eastAsia" w:ascii="宋体" w:hAnsi="宋体" w:eastAsia="宋体" w:cs="宋体"/>
          <w:sz w:val="21"/>
          <w:szCs w:val="21"/>
          <w:lang w:val="en-US" w:bidi="ar-SA"/>
        </w:rPr>
        <w:t>年</w:t>
      </w:r>
      <w:r>
        <w:rPr>
          <w:rFonts w:hint="eastAsia" w:ascii="宋体" w:hAnsi="宋体" w:eastAsia="宋体" w:cs="宋体"/>
          <w:sz w:val="21"/>
          <w:szCs w:val="21"/>
          <w:lang w:val="en-US" w:eastAsia="zh-CN" w:bidi="ar-SA"/>
        </w:rPr>
        <w:t xml:space="preserve">  </w:t>
      </w:r>
      <w:r>
        <w:rPr>
          <w:rFonts w:hint="eastAsia" w:ascii="宋体" w:hAnsi="宋体" w:eastAsia="宋体" w:cs="宋体"/>
          <w:sz w:val="21"/>
          <w:szCs w:val="21"/>
          <w:lang w:val="en-US" w:bidi="ar-SA"/>
        </w:rPr>
        <w:t xml:space="preserve"> 月</w:t>
      </w:r>
      <w:r>
        <w:rPr>
          <w:rFonts w:hint="eastAsia" w:ascii="宋体" w:hAnsi="宋体" w:eastAsia="宋体" w:cs="宋体"/>
          <w:sz w:val="21"/>
          <w:szCs w:val="21"/>
          <w:lang w:val="en-US" w:eastAsia="zh-CN" w:bidi="ar-SA"/>
        </w:rPr>
        <w:t xml:space="preserve">  </w:t>
      </w:r>
      <w:r>
        <w:rPr>
          <w:rFonts w:hint="eastAsia" w:ascii="宋体" w:hAnsi="宋体" w:eastAsia="宋体" w:cs="宋体"/>
          <w:sz w:val="21"/>
          <w:szCs w:val="21"/>
          <w:lang w:val="en-US" w:bidi="ar-SA"/>
        </w:rPr>
        <w:t xml:space="preserve"> 日</w:t>
      </w:r>
    </w:p>
    <w:p>
      <w:pPr>
        <w:widowControl w:val="0"/>
        <w:ind w:left="0" w:leftChars="0" w:firstLine="0" w:firstLineChars="0"/>
        <w:jc w:val="both"/>
        <w:rPr>
          <w:rFonts w:hint="eastAsia" w:ascii="宋体" w:hAnsi="宋体" w:cs="宋体"/>
          <w:b/>
          <w:bCs/>
          <w:sz w:val="24"/>
          <w:szCs w:val="24"/>
        </w:rPr>
      </w:pPr>
      <w:r>
        <w:rPr>
          <w:rFonts w:hint="eastAsia" w:ascii="Times New Roman" w:hAnsi="Times New Roman" w:eastAsia="宋体" w:cs="Times New Roman"/>
          <w:sz w:val="16"/>
          <w:szCs w:val="16"/>
          <w:lang w:val="en-US" w:eastAsia="zh-CN" w:bidi="ar-SA"/>
        </w:rPr>
        <w:br w:type="page"/>
      </w:r>
    </w:p>
    <w:p>
      <w:pPr>
        <w:pStyle w:val="25"/>
        <w:snapToGrid w:val="0"/>
        <w:spacing w:after="240" w:afterLines="100" w:line="360" w:lineRule="auto"/>
        <w:jc w:val="both"/>
        <w:rPr>
          <w:rFonts w:hint="eastAsia" w:ascii="宋体" w:hAnsi="宋体" w:eastAsia="宋体" w:cs="宋体"/>
          <w:b/>
          <w:sz w:val="24"/>
          <w:szCs w:val="24"/>
          <w:lang w:val="en-US" w:eastAsia="zh-CN" w:bidi="ar-SA"/>
        </w:rPr>
      </w:pPr>
      <w:bookmarkStart w:id="41" w:name="_Toc3313"/>
      <w:r>
        <w:rPr>
          <w:rFonts w:hint="eastAsia" w:cs="宋体"/>
          <w:b/>
          <w:sz w:val="24"/>
          <w:szCs w:val="24"/>
          <w:lang w:val="en-US" w:eastAsia="zh-CN" w:bidi="ar-SA"/>
        </w:rPr>
        <w:t>五</w:t>
      </w:r>
      <w:r>
        <w:rPr>
          <w:rFonts w:hint="eastAsia" w:ascii="宋体" w:hAnsi="宋体" w:eastAsia="宋体" w:cs="宋体"/>
          <w:b/>
          <w:sz w:val="24"/>
          <w:szCs w:val="24"/>
          <w:lang w:val="en-US" w:eastAsia="zh-CN" w:bidi="ar-SA"/>
        </w:rPr>
        <w:t>、</w:t>
      </w:r>
      <w:r>
        <w:rPr>
          <w:rFonts w:hint="eastAsia" w:ascii="宋体" w:hAnsi="宋体" w:eastAsia="宋体" w:cs="宋体"/>
          <w:sz w:val="24"/>
          <w:szCs w:val="24"/>
        </w:rPr>
        <w:t>中小企业声明函</w:t>
      </w:r>
      <w:r>
        <w:rPr>
          <w:rFonts w:hint="eastAsia" w:ascii="宋体" w:hAnsi="宋体" w:eastAsia="宋体" w:cs="宋体"/>
          <w:b/>
          <w:sz w:val="24"/>
          <w:szCs w:val="24"/>
          <w:lang w:val="en-US" w:eastAsia="zh-CN" w:bidi="ar-SA"/>
        </w:rPr>
        <w:t>（以下格式文件由投标人根据需要选用）</w:t>
      </w:r>
      <w:bookmarkEnd w:id="41"/>
    </w:p>
    <w:p>
      <w:pPr>
        <w:spacing w:line="360" w:lineRule="auto"/>
        <w:jc w:val="center"/>
        <w:rPr>
          <w:rFonts w:ascii="宋体" w:hAnsi="宋体" w:eastAsia="宋体" w:cs="宋体"/>
          <w:sz w:val="24"/>
          <w:szCs w:val="24"/>
        </w:rPr>
      </w:pPr>
      <w:r>
        <w:rPr>
          <w:rFonts w:hint="eastAsia" w:ascii="宋体" w:hAnsi="宋体" w:eastAsia="宋体" w:cs="宋体"/>
          <w:b/>
          <w:sz w:val="24"/>
          <w:szCs w:val="24"/>
        </w:rPr>
        <w:t>中小企业声明函（货物）</w:t>
      </w:r>
    </w:p>
    <w:p>
      <w:pPr>
        <w:wordWrap w:val="0"/>
        <w:spacing w:line="360" w:lineRule="auto"/>
        <w:ind w:firstLine="482"/>
        <w:rPr>
          <w:rFonts w:ascii="宋体" w:hAnsi="宋体" w:eastAsia="宋体" w:cs="宋体"/>
          <w:sz w:val="22"/>
          <w:szCs w:val="22"/>
        </w:rPr>
      </w:pPr>
      <w:r>
        <w:rPr>
          <w:rFonts w:hint="eastAsia" w:ascii="宋体" w:hAnsi="宋体" w:eastAsia="宋体" w:cs="宋体"/>
          <w:sz w:val="22"/>
          <w:szCs w:val="22"/>
        </w:rPr>
        <w:t>本公司（联合体）郑重声明，根据《政府采购促进中小企业发展管理办法》（财库﹝2020﹞46号）的规定，本公司（联合体）参加</w:t>
      </w:r>
      <w:r>
        <w:rPr>
          <w:rFonts w:hint="eastAsia" w:ascii="宋体" w:hAnsi="宋体" w:eastAsia="宋体" w:cs="宋体"/>
          <w:sz w:val="22"/>
          <w:szCs w:val="22"/>
          <w:u w:val="single"/>
        </w:rPr>
        <w:t>（单位名称）</w:t>
      </w:r>
      <w:r>
        <w:rPr>
          <w:rFonts w:hint="eastAsia" w:ascii="宋体" w:hAnsi="宋体" w:eastAsia="宋体" w:cs="宋体"/>
          <w:sz w:val="22"/>
          <w:szCs w:val="22"/>
        </w:rPr>
        <w:t>的</w:t>
      </w:r>
      <w:r>
        <w:rPr>
          <w:rFonts w:hint="eastAsia" w:ascii="宋体" w:hAnsi="宋体" w:eastAsia="宋体" w:cs="宋体"/>
          <w:sz w:val="22"/>
          <w:szCs w:val="22"/>
          <w:u w:val="single"/>
        </w:rPr>
        <w:t>（项目名称）</w:t>
      </w:r>
      <w:r>
        <w:rPr>
          <w:rFonts w:hint="eastAsia" w:ascii="宋体" w:hAnsi="宋体" w:eastAsia="宋体" w:cs="宋体"/>
          <w:sz w:val="22"/>
          <w:szCs w:val="22"/>
        </w:rPr>
        <w:t>采购活动，提供的货物全部由符合政策要求的中小企业制造。相关企业（含联合体中的中小企业、签订分包意向协议的中小企业）的具体情况如下：</w:t>
      </w:r>
    </w:p>
    <w:p>
      <w:pPr>
        <w:wordWrap w:val="0"/>
        <w:spacing w:line="360" w:lineRule="auto"/>
        <w:ind w:firstLine="482"/>
        <w:rPr>
          <w:rFonts w:ascii="宋体" w:hAnsi="宋体" w:eastAsia="宋体" w:cs="宋体"/>
          <w:sz w:val="22"/>
          <w:szCs w:val="22"/>
        </w:rPr>
      </w:pPr>
      <w:r>
        <w:rPr>
          <w:rFonts w:hint="eastAsia" w:ascii="宋体" w:hAnsi="宋体" w:eastAsia="宋体" w:cs="宋体"/>
          <w:sz w:val="22"/>
          <w:szCs w:val="22"/>
        </w:rPr>
        <w:t>1.（标的名称），属于（磋商文件中明确的所属行业）行业；制造商为（企业名称），从业人员__________________人，营业收入为__________________万元，资产总额为__________________万元1，属于（中型企业、小型企业、微型企业）；</w:t>
      </w:r>
    </w:p>
    <w:p>
      <w:pPr>
        <w:wordWrap w:val="0"/>
        <w:spacing w:line="360" w:lineRule="auto"/>
        <w:ind w:firstLine="482"/>
        <w:rPr>
          <w:rFonts w:ascii="宋体" w:hAnsi="宋体" w:eastAsia="宋体" w:cs="宋体"/>
          <w:sz w:val="22"/>
          <w:szCs w:val="22"/>
        </w:rPr>
      </w:pPr>
      <w:r>
        <w:rPr>
          <w:rFonts w:hint="eastAsia" w:ascii="宋体" w:hAnsi="宋体" w:eastAsia="宋体" w:cs="宋体"/>
          <w:sz w:val="22"/>
          <w:szCs w:val="22"/>
        </w:rPr>
        <w:t>2.（标的名称），属于（磋商文件中明确的所属行业）行业；制造商为（企业名称），从业人员__________________人，营业收入为__________________万元，资产总额为__________________万元1，属于（中型企业、小型企业、微型企业）；</w:t>
      </w:r>
    </w:p>
    <w:p>
      <w:pPr>
        <w:wordWrap w:val="0"/>
        <w:spacing w:line="360" w:lineRule="auto"/>
        <w:ind w:firstLine="482"/>
        <w:rPr>
          <w:rFonts w:ascii="宋体" w:hAnsi="宋体" w:eastAsia="宋体" w:cs="宋体"/>
          <w:sz w:val="22"/>
          <w:szCs w:val="22"/>
        </w:rPr>
      </w:pPr>
      <w:r>
        <w:rPr>
          <w:rFonts w:hint="eastAsia" w:ascii="宋体" w:hAnsi="宋体" w:eastAsia="宋体" w:cs="宋体"/>
          <w:sz w:val="22"/>
          <w:szCs w:val="22"/>
        </w:rPr>
        <w:t>……</w:t>
      </w:r>
    </w:p>
    <w:p>
      <w:pPr>
        <w:wordWrap w:val="0"/>
        <w:spacing w:line="360" w:lineRule="auto"/>
        <w:ind w:firstLine="482"/>
        <w:rPr>
          <w:rFonts w:ascii="宋体" w:hAnsi="宋体" w:eastAsia="宋体" w:cs="宋体"/>
          <w:sz w:val="22"/>
          <w:szCs w:val="22"/>
        </w:rPr>
      </w:pPr>
      <w:r>
        <w:rPr>
          <w:rFonts w:hint="eastAsia" w:ascii="宋体" w:hAnsi="宋体" w:eastAsia="宋体" w:cs="宋体"/>
          <w:sz w:val="22"/>
          <w:szCs w:val="22"/>
        </w:rPr>
        <w:t>以上企业，不属于大企业的分支机构，不存在控股股东为大企业的情形，也不存在与大企业的负责人为同一人的情形。</w:t>
      </w:r>
    </w:p>
    <w:p>
      <w:pPr>
        <w:spacing w:line="360" w:lineRule="auto"/>
        <w:ind w:firstLine="480"/>
        <w:rPr>
          <w:rFonts w:ascii="宋体" w:hAnsi="宋体" w:eastAsia="宋体" w:cs="宋体"/>
          <w:sz w:val="22"/>
          <w:szCs w:val="22"/>
        </w:rPr>
      </w:pPr>
      <w:r>
        <w:rPr>
          <w:rFonts w:hint="eastAsia" w:ascii="宋体" w:hAnsi="宋体" w:eastAsia="宋体" w:cs="宋体"/>
          <w:sz w:val="22"/>
          <w:szCs w:val="22"/>
        </w:rPr>
        <w:t>本企业对上述声明内容的真实性负责。如有虚假，将依法承担相应责任。</w:t>
      </w:r>
    </w:p>
    <w:p>
      <w:pPr>
        <w:spacing w:line="360" w:lineRule="auto"/>
        <w:jc w:val="right"/>
        <w:rPr>
          <w:rFonts w:ascii="宋体" w:hAnsi="宋体" w:eastAsia="宋体" w:cs="宋体"/>
          <w:sz w:val="22"/>
          <w:szCs w:val="22"/>
        </w:rPr>
      </w:pPr>
      <w:r>
        <w:rPr>
          <w:rFonts w:hint="eastAsia" w:ascii="宋体" w:hAnsi="宋体" w:eastAsia="宋体" w:cs="宋体"/>
          <w:sz w:val="22"/>
          <w:szCs w:val="22"/>
        </w:rPr>
        <w:t xml:space="preserve"> 企业名称（盖章）：__________________</w:t>
      </w:r>
    </w:p>
    <w:p>
      <w:pPr>
        <w:spacing w:line="360" w:lineRule="auto"/>
        <w:jc w:val="right"/>
        <w:rPr>
          <w:rFonts w:ascii="宋体" w:hAnsi="宋体" w:eastAsia="宋体" w:cs="宋体"/>
          <w:sz w:val="22"/>
          <w:szCs w:val="22"/>
        </w:rPr>
      </w:pPr>
      <w:r>
        <w:rPr>
          <w:rFonts w:hint="eastAsia" w:ascii="宋体" w:hAnsi="宋体" w:eastAsia="宋体" w:cs="宋体"/>
          <w:sz w:val="22"/>
          <w:szCs w:val="22"/>
        </w:rPr>
        <w:t xml:space="preserve"> 日  期：__________________</w:t>
      </w:r>
    </w:p>
    <w:p>
      <w:pPr>
        <w:spacing w:line="360" w:lineRule="auto"/>
        <w:ind w:firstLine="480"/>
        <w:rPr>
          <w:rFonts w:ascii="宋体" w:hAnsi="宋体" w:eastAsia="宋体" w:cs="宋体"/>
          <w:sz w:val="22"/>
          <w:szCs w:val="22"/>
        </w:rPr>
      </w:pPr>
      <w:r>
        <w:rPr>
          <w:rFonts w:hint="eastAsia" w:ascii="宋体" w:hAnsi="宋体" w:eastAsia="宋体" w:cs="宋体"/>
          <w:sz w:val="22"/>
          <w:szCs w:val="22"/>
        </w:rPr>
        <w:t>1：从业人员、营业收入、资产总额填报上一年度数据，无上一年度数据的新成立企业可不填报。</w:t>
      </w:r>
    </w:p>
    <w:p>
      <w:pPr>
        <w:spacing w:line="360" w:lineRule="auto"/>
        <w:ind w:firstLine="480"/>
        <w:rPr>
          <w:rFonts w:ascii="宋体" w:hAnsi="宋体" w:eastAsia="宋体" w:cs="宋体"/>
          <w:sz w:val="22"/>
          <w:szCs w:val="22"/>
        </w:rPr>
      </w:pPr>
      <w:r>
        <w:rPr>
          <w:rFonts w:hint="eastAsia" w:ascii="宋体" w:hAnsi="宋体" w:eastAsia="宋体" w:cs="宋体"/>
          <w:sz w:val="22"/>
          <w:szCs w:val="22"/>
        </w:rPr>
        <w:t>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pPr>
        <w:spacing w:line="360" w:lineRule="auto"/>
        <w:ind w:firstLine="480"/>
        <w:rPr>
          <w:rFonts w:hint="eastAsia" w:ascii="宋体" w:hAnsi="宋体" w:eastAsia="宋体" w:cs="宋体"/>
          <w:sz w:val="22"/>
          <w:szCs w:val="22"/>
        </w:rPr>
      </w:pPr>
      <w:r>
        <w:rPr>
          <w:rFonts w:hint="eastAsia" w:ascii="宋体" w:hAnsi="宋体" w:eastAsia="宋体" w:cs="宋体"/>
          <w:sz w:val="22"/>
          <w:szCs w:val="22"/>
        </w:rPr>
        <w:t>中小企业声明函（承建本项目工程为中小企业或者承接本项目服务为中小企业时提交本函，所属行业应符合磋商文件中明确的本项目所属行业）</w:t>
      </w:r>
    </w:p>
    <w:p>
      <w:pPr>
        <w:rPr>
          <w:rFonts w:hint="eastAsia" w:ascii="宋体" w:hAnsi="宋体" w:eastAsia="宋体" w:cs="宋体"/>
          <w:sz w:val="22"/>
          <w:szCs w:val="22"/>
        </w:rPr>
      </w:pPr>
      <w:r>
        <w:rPr>
          <w:rFonts w:hint="eastAsia" w:ascii="宋体" w:hAnsi="宋体" w:eastAsia="宋体" w:cs="宋体"/>
          <w:sz w:val="22"/>
          <w:szCs w:val="22"/>
        </w:rPr>
        <w:br w:type="page"/>
      </w:r>
    </w:p>
    <w:p>
      <w:pPr>
        <w:spacing w:line="360" w:lineRule="auto"/>
        <w:jc w:val="center"/>
        <w:rPr>
          <w:rFonts w:hint="eastAsia" w:ascii="宋体" w:hAnsi="宋体" w:eastAsia="宋体" w:cs="宋体"/>
          <w:b/>
          <w:sz w:val="24"/>
          <w:szCs w:val="24"/>
        </w:rPr>
      </w:pPr>
    </w:p>
    <w:p>
      <w:pPr>
        <w:spacing w:line="360" w:lineRule="auto"/>
        <w:jc w:val="center"/>
        <w:rPr>
          <w:rFonts w:ascii="宋体" w:hAnsi="宋体" w:eastAsia="宋体" w:cs="宋体"/>
          <w:sz w:val="24"/>
          <w:szCs w:val="24"/>
        </w:rPr>
      </w:pPr>
      <w:r>
        <w:rPr>
          <w:rFonts w:hint="eastAsia" w:ascii="宋体" w:hAnsi="宋体" w:eastAsia="宋体" w:cs="宋体"/>
          <w:b/>
          <w:sz w:val="24"/>
          <w:szCs w:val="24"/>
        </w:rPr>
        <w:t>中小企业声明函（工程、服务）</w:t>
      </w:r>
    </w:p>
    <w:p>
      <w:pPr>
        <w:wordWrap w:val="0"/>
        <w:spacing w:line="360" w:lineRule="auto"/>
        <w:ind w:firstLine="482"/>
        <w:rPr>
          <w:rFonts w:ascii="宋体" w:hAnsi="宋体" w:eastAsia="宋体" w:cs="宋体"/>
          <w:sz w:val="22"/>
          <w:szCs w:val="22"/>
        </w:rPr>
      </w:pPr>
      <w:r>
        <w:rPr>
          <w:rFonts w:hint="eastAsia" w:ascii="宋体" w:hAnsi="宋体" w:eastAsia="宋体" w:cs="宋体"/>
          <w:sz w:val="22"/>
          <w:szCs w:val="22"/>
        </w:rPr>
        <w:t>本公司（联合体）郑重声明，根据《政府采购促进中小企业发展管理办法》（财库﹝2020﹞46号）的规定，本公司（联合体）参加</w:t>
      </w:r>
      <w:r>
        <w:rPr>
          <w:rFonts w:hint="eastAsia" w:ascii="宋体" w:hAnsi="宋体" w:eastAsia="宋体" w:cs="宋体"/>
          <w:sz w:val="22"/>
          <w:szCs w:val="22"/>
          <w:u w:val="single"/>
        </w:rPr>
        <w:t>（单位名称）</w:t>
      </w:r>
      <w:r>
        <w:rPr>
          <w:rFonts w:hint="eastAsia" w:ascii="宋体" w:hAnsi="宋体" w:eastAsia="宋体" w:cs="宋体"/>
          <w:sz w:val="22"/>
          <w:szCs w:val="22"/>
        </w:rPr>
        <w:t>的</w:t>
      </w:r>
      <w:r>
        <w:rPr>
          <w:rFonts w:hint="eastAsia" w:ascii="宋体" w:hAnsi="宋体" w:eastAsia="宋体" w:cs="宋体"/>
          <w:sz w:val="22"/>
          <w:szCs w:val="22"/>
          <w:u w:val="single"/>
        </w:rPr>
        <w:t>（项目名称）</w:t>
      </w:r>
      <w:r>
        <w:rPr>
          <w:rFonts w:hint="eastAsia" w:ascii="宋体" w:hAnsi="宋体" w:eastAsia="宋体" w:cs="宋体"/>
          <w:sz w:val="22"/>
          <w:szCs w:val="22"/>
        </w:rPr>
        <w:t>采购活动，工程的施工单位全部为符合政策要求的中小企业（或者：服务全部由符合政策要求的中小企业承接）。相关企业（含联合体中的中小企业、签订分包意向协议的中小企业）的具体情况如下：</w:t>
      </w:r>
    </w:p>
    <w:p>
      <w:pPr>
        <w:wordWrap w:val="0"/>
        <w:spacing w:line="360" w:lineRule="auto"/>
        <w:ind w:firstLine="482"/>
        <w:rPr>
          <w:rFonts w:ascii="宋体" w:hAnsi="宋体" w:eastAsia="宋体" w:cs="宋体"/>
          <w:sz w:val="22"/>
          <w:szCs w:val="22"/>
        </w:rPr>
      </w:pPr>
      <w:r>
        <w:rPr>
          <w:rFonts w:hint="eastAsia" w:ascii="宋体" w:hAnsi="宋体" w:eastAsia="宋体" w:cs="宋体"/>
          <w:sz w:val="22"/>
          <w:szCs w:val="22"/>
        </w:rPr>
        <w:t>1.（标的名称），属于（磋商文件中明确的所属行业）行业；承建（承接）企业为（企业名称），从业人员__________________人，营业收入为__________________万元，资产总额为__________________万元1，属于（中型企业、小型企业、微型企业）；</w:t>
      </w:r>
    </w:p>
    <w:p>
      <w:pPr>
        <w:wordWrap w:val="0"/>
        <w:spacing w:line="360" w:lineRule="auto"/>
        <w:ind w:firstLine="482"/>
        <w:rPr>
          <w:rFonts w:ascii="宋体" w:hAnsi="宋体" w:eastAsia="宋体" w:cs="宋体"/>
          <w:sz w:val="22"/>
          <w:szCs w:val="22"/>
        </w:rPr>
      </w:pPr>
      <w:r>
        <w:rPr>
          <w:rFonts w:hint="eastAsia" w:ascii="宋体" w:hAnsi="宋体" w:eastAsia="宋体" w:cs="宋体"/>
          <w:sz w:val="22"/>
          <w:szCs w:val="22"/>
        </w:rPr>
        <w:t>2.（标的名称），属于（磋商文件中明确的所属行业）行业；承建（承接）企业为（企业名称），从业人员__________________人，营业收入为__________________万元，资产总额为__________________万元1，属于（中型企业、小型企业、微型企业）；</w:t>
      </w:r>
    </w:p>
    <w:p>
      <w:pPr>
        <w:spacing w:line="360" w:lineRule="auto"/>
        <w:ind w:firstLine="480"/>
        <w:rPr>
          <w:rFonts w:ascii="宋体" w:hAnsi="宋体" w:eastAsia="宋体" w:cs="宋体"/>
          <w:sz w:val="22"/>
          <w:szCs w:val="22"/>
        </w:rPr>
      </w:pPr>
      <w:r>
        <w:rPr>
          <w:rFonts w:hint="eastAsia" w:ascii="宋体" w:hAnsi="宋体" w:eastAsia="宋体" w:cs="宋体"/>
          <w:sz w:val="22"/>
          <w:szCs w:val="22"/>
        </w:rPr>
        <w:t>……</w:t>
      </w:r>
    </w:p>
    <w:p>
      <w:pPr>
        <w:spacing w:line="360" w:lineRule="auto"/>
        <w:ind w:firstLine="480"/>
        <w:rPr>
          <w:rFonts w:ascii="宋体" w:hAnsi="宋体" w:eastAsia="宋体" w:cs="宋体"/>
          <w:sz w:val="22"/>
          <w:szCs w:val="22"/>
        </w:rPr>
      </w:pPr>
      <w:r>
        <w:rPr>
          <w:rFonts w:hint="eastAsia" w:ascii="宋体" w:hAnsi="宋体" w:eastAsia="宋体" w:cs="宋体"/>
          <w:sz w:val="22"/>
          <w:szCs w:val="22"/>
        </w:rPr>
        <w:t>以上企业，不属于大企业的分支机构，不存在控股股东为大企业的情形，也不存在与大企业的负责人为同一人的情形。</w:t>
      </w:r>
    </w:p>
    <w:p>
      <w:pPr>
        <w:spacing w:line="360" w:lineRule="auto"/>
        <w:ind w:firstLine="480"/>
        <w:rPr>
          <w:rFonts w:ascii="宋体" w:hAnsi="宋体" w:eastAsia="宋体" w:cs="宋体"/>
          <w:sz w:val="22"/>
          <w:szCs w:val="22"/>
        </w:rPr>
      </w:pPr>
      <w:r>
        <w:rPr>
          <w:rFonts w:hint="eastAsia" w:ascii="宋体" w:hAnsi="宋体" w:eastAsia="宋体" w:cs="宋体"/>
          <w:sz w:val="22"/>
          <w:szCs w:val="22"/>
        </w:rPr>
        <w:t>本企业对上述声明内容的真实性负责。如有虚假，将依法承担相应责任。</w:t>
      </w:r>
    </w:p>
    <w:p>
      <w:pPr>
        <w:spacing w:line="360" w:lineRule="auto"/>
        <w:jc w:val="right"/>
        <w:rPr>
          <w:rFonts w:ascii="宋体" w:hAnsi="宋体" w:eastAsia="宋体" w:cs="宋体"/>
          <w:sz w:val="22"/>
          <w:szCs w:val="22"/>
        </w:rPr>
      </w:pPr>
      <w:r>
        <w:rPr>
          <w:rFonts w:hint="eastAsia" w:ascii="宋体" w:hAnsi="宋体" w:eastAsia="宋体" w:cs="宋体"/>
          <w:sz w:val="22"/>
          <w:szCs w:val="22"/>
        </w:rPr>
        <w:t xml:space="preserve"> 企业名称（盖章）：__________________</w:t>
      </w:r>
    </w:p>
    <w:p>
      <w:pPr>
        <w:spacing w:line="360" w:lineRule="auto"/>
        <w:jc w:val="right"/>
        <w:rPr>
          <w:rFonts w:ascii="宋体" w:hAnsi="宋体" w:eastAsia="宋体" w:cs="宋体"/>
          <w:sz w:val="22"/>
          <w:szCs w:val="22"/>
        </w:rPr>
      </w:pPr>
      <w:r>
        <w:rPr>
          <w:rFonts w:hint="eastAsia" w:ascii="宋体" w:hAnsi="宋体" w:eastAsia="宋体" w:cs="宋体"/>
          <w:sz w:val="22"/>
          <w:szCs w:val="22"/>
        </w:rPr>
        <w:t xml:space="preserve"> 日  期：__________________</w:t>
      </w:r>
    </w:p>
    <w:p>
      <w:pPr>
        <w:spacing w:line="360" w:lineRule="auto"/>
        <w:ind w:firstLine="480"/>
        <w:rPr>
          <w:rFonts w:ascii="宋体" w:hAnsi="宋体" w:eastAsia="宋体" w:cs="宋体"/>
          <w:sz w:val="22"/>
          <w:szCs w:val="22"/>
        </w:rPr>
      </w:pPr>
      <w:r>
        <w:rPr>
          <w:rFonts w:hint="eastAsia" w:ascii="宋体" w:hAnsi="宋体" w:eastAsia="宋体" w:cs="宋体"/>
          <w:sz w:val="22"/>
          <w:szCs w:val="22"/>
        </w:rPr>
        <w:t>1：从业人员、营业收入、资产总额填报上一年度数据，无上一年度数据的新成立企业可不填报。</w:t>
      </w:r>
    </w:p>
    <w:p>
      <w:pPr>
        <w:spacing w:line="360" w:lineRule="auto"/>
        <w:ind w:firstLine="480"/>
        <w:rPr>
          <w:rFonts w:hint="eastAsia" w:ascii="宋体" w:hAnsi="宋体" w:eastAsia="宋体" w:cs="宋体"/>
          <w:sz w:val="22"/>
          <w:szCs w:val="22"/>
        </w:rPr>
      </w:pPr>
      <w:r>
        <w:rPr>
          <w:rFonts w:hint="eastAsia" w:ascii="宋体" w:hAnsi="宋体" w:eastAsia="宋体" w:cs="宋体"/>
          <w:sz w:val="22"/>
          <w:szCs w:val="22"/>
        </w:rPr>
        <w:t>2：供应商应当自行核实是否属于小微企业，并认真填写声明函，若有虚假将追究其责任。</w:t>
      </w:r>
    </w:p>
    <w:p>
      <w:pPr>
        <w:rPr>
          <w:rFonts w:hint="eastAsia" w:ascii="宋体" w:hAnsi="宋体" w:eastAsia="宋体" w:cs="宋体"/>
          <w:sz w:val="24"/>
          <w:szCs w:val="24"/>
        </w:rPr>
      </w:pPr>
      <w:r>
        <w:rPr>
          <w:rFonts w:hint="eastAsia" w:ascii="宋体" w:hAnsi="宋体" w:eastAsia="宋体" w:cs="宋体"/>
          <w:sz w:val="24"/>
          <w:szCs w:val="24"/>
        </w:rPr>
        <w:br w:type="page"/>
      </w:r>
    </w:p>
    <w:p>
      <w:pPr>
        <w:pStyle w:val="2"/>
        <w:rPr>
          <w:rFonts w:hint="eastAsia" w:ascii="宋体" w:hAnsi="Times New Roman" w:cs="宋体"/>
          <w:b/>
          <w:bCs/>
          <w:color w:val="000000"/>
          <w:szCs w:val="24"/>
          <w:highlight w:val="none"/>
        </w:rPr>
      </w:pPr>
      <w:r>
        <w:rPr>
          <w:rFonts w:hint="eastAsia" w:cs="宋体"/>
          <w:b/>
          <w:bCs/>
          <w:color w:val="000000"/>
          <w:szCs w:val="24"/>
          <w:lang w:val="en-US" w:eastAsia="zh-CN"/>
        </w:rPr>
        <w:t>六、投标人认为有必要提供的其他资料。</w:t>
      </w:r>
    </w:p>
    <w:p>
      <w:pPr>
        <w:rPr>
          <w:rFonts w:hint="eastAsia"/>
        </w:rPr>
      </w:pPr>
    </w:p>
    <w:p>
      <w:pPr>
        <w:rPr>
          <w:rFonts w:hint="eastAsia"/>
        </w:rPr>
      </w:pPr>
    </w:p>
    <w:p>
      <w:pPr>
        <w:rPr>
          <w:rFonts w:hint="eastAsia"/>
        </w:rPr>
      </w:pPr>
    </w:p>
    <w:p>
      <w:pPr>
        <w:rPr>
          <w:rFonts w:hint="eastAsia"/>
        </w:rPr>
      </w:pPr>
    </w:p>
    <w:p>
      <w:pPr>
        <w:adjustRightInd w:val="0"/>
        <w:snapToGrid w:val="0"/>
        <w:spacing w:line="360" w:lineRule="auto"/>
        <w:rPr>
          <w:rFonts w:hint="eastAsia" w:ascii="宋体" w:hAnsi="宋体" w:cs="宋体"/>
          <w:szCs w:val="21"/>
        </w:rPr>
      </w:pPr>
      <w:r>
        <w:rPr>
          <w:rFonts w:hint="eastAsia" w:ascii="宋体" w:hAnsi="宋体" w:cs="宋体"/>
          <w:szCs w:val="21"/>
        </w:rPr>
        <w:t>投标人代表签字或者签章：</w:t>
      </w:r>
    </w:p>
    <w:p>
      <w:pPr>
        <w:adjustRightInd w:val="0"/>
        <w:snapToGrid w:val="0"/>
        <w:spacing w:line="360" w:lineRule="auto"/>
        <w:rPr>
          <w:rFonts w:hint="eastAsia" w:ascii="宋体" w:hAnsi="宋体" w:cs="宋体"/>
          <w:szCs w:val="21"/>
        </w:rPr>
      </w:pPr>
      <w:r>
        <w:rPr>
          <w:rFonts w:hint="eastAsia" w:ascii="宋体" w:hAnsi="宋体" w:cs="宋体"/>
          <w:szCs w:val="21"/>
        </w:rPr>
        <w:t>投标人名称（加盖公章）：</w:t>
      </w:r>
    </w:p>
    <w:p>
      <w:pPr>
        <w:adjustRightInd w:val="0"/>
        <w:snapToGrid w:val="0"/>
        <w:spacing w:line="360" w:lineRule="auto"/>
        <w:rPr>
          <w:rFonts w:hint="eastAsia" w:ascii="宋体" w:hAnsi="宋体" w:cs="宋体"/>
          <w:szCs w:val="21"/>
        </w:rPr>
      </w:pPr>
      <w:r>
        <w:rPr>
          <w:rFonts w:hint="eastAsia" w:ascii="宋体" w:hAnsi="宋体" w:cs="宋体"/>
          <w:szCs w:val="21"/>
        </w:rPr>
        <w:t>日期：年 月 日</w:t>
      </w:r>
    </w:p>
    <w:p>
      <w:pPr>
        <w:tabs>
          <w:tab w:val="left" w:pos="851"/>
        </w:tabs>
        <w:rPr>
          <w:rFonts w:hint="eastAsia" w:ascii="宋体" w:hAnsi="宋体" w:cs="宋体"/>
          <w:sz w:val="24"/>
          <w:szCs w:val="24"/>
        </w:rPr>
        <w:sectPr>
          <w:pgSz w:w="11906" w:h="16838"/>
          <w:pgMar w:top="1434" w:right="1474" w:bottom="1434" w:left="1474" w:header="851" w:footer="992" w:gutter="0"/>
          <w:pgNumType w:fmt="decimal"/>
          <w:cols w:space="425" w:num="1"/>
          <w:docGrid w:type="lines" w:linePitch="312" w:charSpace="0"/>
        </w:sectPr>
      </w:pPr>
    </w:p>
    <w:p>
      <w:pPr>
        <w:widowControl w:val="0"/>
        <w:spacing w:line="360" w:lineRule="auto"/>
        <w:ind w:firstLine="0" w:firstLineChars="0"/>
        <w:jc w:val="center"/>
        <w:rPr>
          <w:rFonts w:hint="eastAsia" w:ascii="宋体" w:hAnsi="宋体" w:eastAsia="宋体" w:cs="宋体"/>
          <w:b/>
          <w:color w:val="auto"/>
          <w:sz w:val="36"/>
          <w:szCs w:val="44"/>
          <w:highlight w:val="none"/>
          <w:lang w:val="en-US" w:eastAsia="zh-CN" w:bidi="ar-SA"/>
        </w:rPr>
      </w:pPr>
      <w:bookmarkStart w:id="42" w:name="_Toc28351"/>
      <w:bookmarkStart w:id="43" w:name="_Toc56615725"/>
      <w:r>
        <w:rPr>
          <w:rFonts w:hint="eastAsia" w:ascii="宋体" w:hAnsi="宋体" w:eastAsia="宋体" w:cs="宋体"/>
          <w:b/>
          <w:color w:val="auto"/>
          <w:sz w:val="36"/>
          <w:szCs w:val="44"/>
          <w:highlight w:val="none"/>
          <w:lang w:val="en-US" w:eastAsia="zh-CN" w:bidi="ar-SA"/>
        </w:rPr>
        <w:t>第六部分  投标人须知</w:t>
      </w:r>
      <w:bookmarkEnd w:id="42"/>
      <w:bookmarkEnd w:id="43"/>
    </w:p>
    <w:p>
      <w:pPr>
        <w:keepNext/>
        <w:keepLines/>
        <w:widowControl w:val="0"/>
        <w:numPr>
          <w:ilvl w:val="1"/>
          <w:numId w:val="0"/>
        </w:numPr>
        <w:tabs>
          <w:tab w:val="left" w:pos="567"/>
        </w:tabs>
        <w:autoSpaceDE/>
        <w:autoSpaceDN/>
        <w:spacing w:before="40" w:after="40" w:line="360" w:lineRule="auto"/>
        <w:ind w:left="0" w:right="0"/>
        <w:jc w:val="both"/>
        <w:rPr>
          <w:rFonts w:hint="eastAsia" w:ascii="宋体" w:hAnsi="宋体" w:eastAsia="宋体" w:cs="宋体"/>
          <w:b/>
          <w:bCs/>
          <w:color w:val="auto"/>
          <w:kern w:val="2"/>
          <w:sz w:val="21"/>
          <w:szCs w:val="21"/>
          <w:highlight w:val="none"/>
          <w:lang w:val="en-US" w:bidi="ar-SA"/>
        </w:rPr>
      </w:pPr>
      <w:bookmarkStart w:id="44" w:name="_Toc276645574"/>
      <w:bookmarkStart w:id="45" w:name="_Toc453844574"/>
      <w:bookmarkStart w:id="46" w:name="_Toc259090934"/>
      <w:bookmarkStart w:id="47" w:name="_Toc435345599"/>
      <w:bookmarkStart w:id="48" w:name="_Toc7628"/>
      <w:r>
        <w:rPr>
          <w:rFonts w:hint="eastAsia" w:ascii="宋体" w:hAnsi="宋体" w:eastAsia="宋体" w:cs="宋体"/>
          <w:b/>
          <w:bCs/>
          <w:color w:val="auto"/>
          <w:kern w:val="2"/>
          <w:sz w:val="21"/>
          <w:szCs w:val="21"/>
          <w:highlight w:val="none"/>
          <w:lang w:val="en-US" w:bidi="ar-SA"/>
        </w:rPr>
        <w:t>一、说  明</w:t>
      </w:r>
      <w:bookmarkEnd w:id="44"/>
      <w:bookmarkEnd w:id="45"/>
      <w:bookmarkEnd w:id="46"/>
      <w:bookmarkEnd w:id="47"/>
      <w:bookmarkEnd w:id="48"/>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49" w:name="_Toc259090935"/>
      <w:bookmarkStart w:id="50" w:name="_Toc453844575"/>
      <w:bookmarkStart w:id="51" w:name="_Toc435345600"/>
      <w:r>
        <w:rPr>
          <w:rFonts w:hint="eastAsia" w:ascii="宋体" w:hAnsi="宋体" w:eastAsia="宋体" w:cs="宋体"/>
          <w:b/>
          <w:bCs/>
          <w:color w:val="auto"/>
          <w:kern w:val="2"/>
          <w:sz w:val="21"/>
          <w:szCs w:val="21"/>
          <w:highlight w:val="none"/>
          <w:lang w:val="en-US" w:bidi="ar-SA"/>
        </w:rPr>
        <w:t>1．适用范围</w:t>
      </w:r>
      <w:bookmarkEnd w:id="49"/>
      <w:bookmarkEnd w:id="50"/>
      <w:bookmarkEnd w:id="51"/>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1.1本招标文件适用于《投标人须知前附表》所述项目。</w:t>
      </w:r>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52" w:name="_Toc453844576"/>
      <w:bookmarkStart w:id="53" w:name="_Toc259090936"/>
      <w:bookmarkStart w:id="54" w:name="_Toc435345601"/>
      <w:r>
        <w:rPr>
          <w:rFonts w:hint="eastAsia" w:ascii="宋体" w:hAnsi="宋体" w:eastAsia="宋体" w:cs="宋体"/>
          <w:b/>
          <w:bCs/>
          <w:color w:val="auto"/>
          <w:kern w:val="2"/>
          <w:sz w:val="21"/>
          <w:szCs w:val="21"/>
          <w:highlight w:val="none"/>
          <w:lang w:val="en-US" w:bidi="ar-SA"/>
        </w:rPr>
        <w:t>2．定义</w:t>
      </w:r>
      <w:bookmarkEnd w:id="52"/>
      <w:bookmarkEnd w:id="53"/>
      <w:bookmarkEnd w:id="54"/>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2.1“采购人”是指《投标人须知前附表》列明的、获得资金的国家机关、企事业单位、团体组织或者其他社会组织。</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2.2“采购代理机构”是指：无。</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2.3“招标采购单位”是指：采购人或采购代理机构。</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2.4“投标人”是指：向采购人提供货物、工程、服务的法人、其他组织或者自然人。</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2.5“货物”是指：各种形态和种类的物品，包括原材料、燃料、设备、产品等。</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2.6“服务”是指：货物和工程以外的其他采购对象。</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2.7合格的投标人</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2.7.1符合招标文件资格规定的投标人。</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2.7.2符合《投标人须知前附表》所列资格要求的投标人。</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2.8合格的货物</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2.8.1投标人提供所有货物必须是全新的、未使用过的货物。</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2.8.2国产的货物及其有关服务必须符合中华人民共和国的设计和制造的国家及行业标准、强制性规范。</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2.8.3进口的货物及其有关服务必须符合原产地和/或者中华人民共和国的设计和制造生产或者行业标准，具有合法的进口手续和途径，并通过了进口检验检疫主管部门的检验。</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2.8.4除非“投标须知前附表”中允许，否则不允许以进口产品参加投标。</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2.8.5投标人应保证，采购人在中华人民共和国使用该货物或者货物的任何一部分时，免受第三方提出的侵犯其专利权、商标权、著作权或者其他知识产权的起诉。</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2.8.6满足《投标人须知前附表》所列其他要求。</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2.9合格的服务：满足《投标人须知前附表》所列要求。</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2.10“中标人”是指经法定程序确定并授予合同的投标人。</w:t>
      </w:r>
    </w:p>
    <w:p>
      <w:pPr>
        <w:keepNext/>
        <w:keepLines/>
        <w:widowControl w:val="0"/>
        <w:numPr>
          <w:ilvl w:val="1"/>
          <w:numId w:val="0"/>
        </w:numPr>
        <w:tabs>
          <w:tab w:val="left" w:pos="567"/>
        </w:tabs>
        <w:autoSpaceDE/>
        <w:autoSpaceDN/>
        <w:spacing w:before="40" w:after="40" w:line="360" w:lineRule="auto"/>
        <w:ind w:left="0" w:right="0"/>
        <w:jc w:val="both"/>
        <w:rPr>
          <w:rFonts w:hint="eastAsia" w:ascii="宋体" w:hAnsi="宋体" w:eastAsia="宋体" w:cs="宋体"/>
          <w:b/>
          <w:bCs/>
          <w:color w:val="auto"/>
          <w:kern w:val="2"/>
          <w:sz w:val="21"/>
          <w:szCs w:val="21"/>
          <w:highlight w:val="none"/>
          <w:lang w:val="en-US" w:bidi="ar-SA"/>
        </w:rPr>
      </w:pPr>
      <w:bookmarkStart w:id="55" w:name="_Toc259090939"/>
      <w:bookmarkStart w:id="56" w:name="_Toc435345603"/>
      <w:bookmarkStart w:id="57" w:name="_Toc453844578"/>
      <w:bookmarkStart w:id="58" w:name="_Toc680"/>
      <w:r>
        <w:rPr>
          <w:rFonts w:hint="eastAsia" w:ascii="宋体" w:hAnsi="宋体" w:eastAsia="宋体" w:cs="宋体"/>
          <w:b/>
          <w:bCs/>
          <w:color w:val="auto"/>
          <w:kern w:val="2"/>
          <w:sz w:val="21"/>
          <w:szCs w:val="21"/>
          <w:highlight w:val="none"/>
          <w:lang w:val="en-US" w:bidi="ar-SA"/>
        </w:rPr>
        <w:t>二、</w:t>
      </w:r>
      <w:bookmarkEnd w:id="55"/>
      <w:bookmarkEnd w:id="56"/>
      <w:bookmarkEnd w:id="57"/>
      <w:bookmarkEnd w:id="58"/>
      <w:r>
        <w:rPr>
          <w:rFonts w:hint="eastAsia" w:ascii="宋体" w:hAnsi="宋体" w:eastAsia="宋体" w:cs="宋体"/>
          <w:b/>
          <w:bCs/>
          <w:color w:val="auto"/>
          <w:kern w:val="2"/>
          <w:sz w:val="21"/>
          <w:szCs w:val="21"/>
          <w:highlight w:val="none"/>
          <w:lang w:val="en-US" w:bidi="ar-SA"/>
        </w:rPr>
        <w:t>招标文件</w:t>
      </w:r>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59" w:name="_Toc259090940"/>
      <w:bookmarkStart w:id="60" w:name="_Toc435345604"/>
      <w:bookmarkStart w:id="61" w:name="_Toc453844579"/>
      <w:r>
        <w:rPr>
          <w:rFonts w:hint="eastAsia" w:ascii="宋体" w:hAnsi="宋体" w:eastAsia="宋体" w:cs="宋体"/>
          <w:b/>
          <w:bCs/>
          <w:color w:val="auto"/>
          <w:kern w:val="2"/>
          <w:sz w:val="21"/>
          <w:szCs w:val="21"/>
          <w:highlight w:val="none"/>
          <w:lang w:val="en-US" w:bidi="ar-SA"/>
        </w:rPr>
        <w:t>3．招标文件的构成</w:t>
      </w:r>
      <w:bookmarkEnd w:id="59"/>
      <w:bookmarkEnd w:id="60"/>
      <w:bookmarkEnd w:id="61"/>
    </w:p>
    <w:p>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3.1招标文件由下列文件以及在招标过程中发出的修正和补充文件组成：</w:t>
      </w:r>
    </w:p>
    <w:p>
      <w:pPr>
        <w:widowControl w:val="0"/>
        <w:autoSpaceDE/>
        <w:autoSpaceDN/>
        <w:adjustRightInd w:val="0"/>
        <w:snapToGrid w:val="0"/>
        <w:spacing w:before="0" w:after="0" w:line="360" w:lineRule="auto"/>
        <w:ind w:left="0" w:right="0" w:firstLine="36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 招标公告</w:t>
      </w:r>
    </w:p>
    <w:p>
      <w:pPr>
        <w:widowControl w:val="0"/>
        <w:autoSpaceDE/>
        <w:autoSpaceDN/>
        <w:adjustRightInd w:val="0"/>
        <w:snapToGrid w:val="0"/>
        <w:spacing w:before="0" w:after="0" w:line="360" w:lineRule="auto"/>
        <w:ind w:left="0" w:right="0" w:firstLine="36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 用户需求书</w:t>
      </w:r>
    </w:p>
    <w:p>
      <w:pPr>
        <w:widowControl w:val="0"/>
        <w:autoSpaceDE/>
        <w:autoSpaceDN/>
        <w:adjustRightInd w:val="0"/>
        <w:snapToGrid w:val="0"/>
        <w:spacing w:before="0" w:after="0" w:line="360" w:lineRule="auto"/>
        <w:ind w:left="0" w:right="0" w:firstLine="36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3） 投标人须知前附表</w:t>
      </w:r>
    </w:p>
    <w:p>
      <w:pPr>
        <w:widowControl w:val="0"/>
        <w:autoSpaceDE/>
        <w:autoSpaceDN/>
        <w:adjustRightInd w:val="0"/>
        <w:snapToGrid w:val="0"/>
        <w:spacing w:before="0" w:after="0" w:line="360" w:lineRule="auto"/>
        <w:ind w:left="0" w:right="0" w:firstLine="36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4） 评标方法与标准</w:t>
      </w:r>
    </w:p>
    <w:p>
      <w:pPr>
        <w:widowControl w:val="0"/>
        <w:autoSpaceDE/>
        <w:autoSpaceDN/>
        <w:adjustRightInd w:val="0"/>
        <w:snapToGrid w:val="0"/>
        <w:spacing w:before="0" w:after="0" w:line="360" w:lineRule="auto"/>
        <w:ind w:left="0" w:right="0" w:firstLine="36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 xml:space="preserve">5） </w:t>
      </w:r>
      <w:r>
        <w:rPr>
          <w:rFonts w:hint="eastAsia" w:ascii="宋体" w:hAnsi="宋体" w:eastAsia="宋体" w:cs="宋体"/>
          <w:color w:val="auto"/>
          <w:sz w:val="21"/>
          <w:szCs w:val="21"/>
          <w:highlight w:val="none"/>
          <w:lang w:val="en-US" w:bidi="ar-SA"/>
        </w:rPr>
        <w:t>合同文本</w:t>
      </w:r>
    </w:p>
    <w:p>
      <w:pPr>
        <w:widowControl w:val="0"/>
        <w:autoSpaceDE/>
        <w:autoSpaceDN/>
        <w:adjustRightInd w:val="0"/>
        <w:snapToGrid w:val="0"/>
        <w:spacing w:before="0" w:after="0" w:line="360" w:lineRule="auto"/>
        <w:ind w:left="0" w:right="0" w:firstLine="360"/>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6） 投标文件格式</w:t>
      </w:r>
    </w:p>
    <w:p>
      <w:pPr>
        <w:widowControl w:val="0"/>
        <w:autoSpaceDE/>
        <w:autoSpaceDN/>
        <w:adjustRightInd w:val="0"/>
        <w:snapToGrid w:val="0"/>
        <w:spacing w:before="0" w:after="0" w:line="360" w:lineRule="auto"/>
        <w:ind w:left="0" w:right="0" w:firstLine="360"/>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 xml:space="preserve">7） </w:t>
      </w:r>
      <w:r>
        <w:rPr>
          <w:rFonts w:hint="eastAsia" w:ascii="宋体" w:hAnsi="宋体" w:eastAsia="宋体" w:cs="宋体"/>
          <w:color w:val="auto"/>
          <w:kern w:val="2"/>
          <w:sz w:val="21"/>
          <w:szCs w:val="21"/>
          <w:highlight w:val="none"/>
          <w:lang w:val="en-US" w:bidi="ar-SA"/>
        </w:rPr>
        <w:t>投标人须知</w:t>
      </w:r>
    </w:p>
    <w:p>
      <w:pPr>
        <w:widowControl w:val="0"/>
        <w:autoSpaceDE/>
        <w:autoSpaceDN/>
        <w:adjustRightInd w:val="0"/>
        <w:snapToGrid w:val="0"/>
        <w:spacing w:before="0" w:after="0" w:line="360" w:lineRule="auto"/>
        <w:ind w:left="0" w:right="0" w:firstLine="36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8） 在招标过程中由招标采购单位发出的修正和补充文件等</w:t>
      </w:r>
    </w:p>
    <w:p>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3.2投标人应认真阅读、并充分理解招标文件的全部内容（包括所有的补充、修改内容、重要事项、格式、条款和技术规范、参数及要求等）。投标人没有按照招标文件要求提交全部资料，或者投标没有对招标文件在各方面都作出实质性响应是投标人的风险，有可能导致其投标被拒绝，或者被认定为无效投标或者被确定为投标无效。</w:t>
      </w:r>
    </w:p>
    <w:p>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3.3投标人向本招标文件中所述的采购人咨询的有关本招标项目事项，一切以法律法规的规定和本公司书面答复为准，其他一切形式均为个人意见，不代表本</w:t>
      </w:r>
      <w:r>
        <w:rPr>
          <w:rFonts w:hint="eastAsia" w:ascii="宋体" w:hAnsi="宋体" w:eastAsia="宋体" w:cs="宋体"/>
          <w:color w:val="auto"/>
          <w:kern w:val="2"/>
          <w:sz w:val="21"/>
          <w:szCs w:val="21"/>
          <w:highlight w:val="none"/>
          <w:lang w:val="en-US" w:eastAsia="zh-CN" w:bidi="ar-SA"/>
        </w:rPr>
        <w:t>单位</w:t>
      </w:r>
      <w:r>
        <w:rPr>
          <w:rFonts w:hint="eastAsia" w:ascii="宋体" w:hAnsi="宋体" w:eastAsia="宋体" w:cs="宋体"/>
          <w:color w:val="auto"/>
          <w:kern w:val="2"/>
          <w:sz w:val="21"/>
          <w:szCs w:val="21"/>
          <w:highlight w:val="none"/>
          <w:lang w:val="en-US" w:bidi="ar-SA"/>
        </w:rPr>
        <w:t>的意见。</w:t>
      </w:r>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62" w:name="_Toc259090941"/>
      <w:bookmarkStart w:id="63" w:name="_Toc453844580"/>
      <w:bookmarkStart w:id="64" w:name="_Toc435345605"/>
      <w:r>
        <w:rPr>
          <w:rFonts w:hint="eastAsia" w:ascii="宋体" w:hAnsi="宋体" w:eastAsia="宋体" w:cs="宋体"/>
          <w:b/>
          <w:bCs/>
          <w:color w:val="auto"/>
          <w:kern w:val="2"/>
          <w:sz w:val="21"/>
          <w:szCs w:val="21"/>
          <w:highlight w:val="none"/>
          <w:lang w:val="en-US" w:bidi="ar-SA"/>
        </w:rPr>
        <w:t>4．招标文件的澄清或者修改</w:t>
      </w:r>
      <w:bookmarkEnd w:id="62"/>
      <w:bookmarkEnd w:id="63"/>
      <w:bookmarkEnd w:id="64"/>
    </w:p>
    <w:p>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4.1招标文件的澄清是指采购人对招标文件中的遗漏、错误、词义表达不清或者对比较复杂的事项进行说明，回答投标人提出的各种问题。招标文件的修改是指采购人或者采购人对招标文件中出现的错误进行修订。投标截止期前的任何时候，无论出于何种原因，采购人可主动的或者在解答投标人提出的澄清问题时对招标文件进行修改，但不得改变采购标的和资格条件。澄清或者修改应当在原公告发布媒体上发布澄清公告。澄清或者修改的内容为招标文件的组成部分。</w:t>
      </w:r>
    </w:p>
    <w:p>
      <w:pPr>
        <w:keepLines/>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4.2任何要求对招标文件进行澄清的投标人，均应以书面形式通知招标采购单位。招标采购单位对其收到的对招标文件的书面澄清要求均以书面形式予以答复，同时将书面答复发给每个获取招标文件的投标人（答复中不包括问题的来源）。投标人在收到上述答复后，应立即向招标采购单位回函确认。该答复作为招标文件的一部分，对投标人有约束力。</w:t>
      </w:r>
    </w:p>
    <w:p>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4.3招标文件的修改将以书面形式通知所有获取招标文件的投标人，并对其具有约束力。投标人在收到修改通知后，应立即向招标采购单位回函确认。</w:t>
      </w:r>
    </w:p>
    <w:p>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4.4采购人对已发出的招标文件进行必要的澄清或者修改的，应当在招标文件要求提交投标文件截止时间至少十五个日历日前，以书面形式通知所有招标文件收受人。该澄清或者修改的内容为招标文件的组成部分。采购人修改招标文件之日起至投标截止期少于十五个日历日的，采购人或者采购代理机构应当顺延提交投标文件的截止时间，将变更时间书面通知所有招标文件收受人。</w:t>
      </w:r>
    </w:p>
    <w:p>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4.5采购人或者采购代理机构将澄清（更正/变更）公告通知成功购买招标文件的投标人，投标人在收到澄清或者修改（更正/变更）通知后，应按要求以书面形式向采购人或者采购代理机构确认。如在24小时之内无书面确认则视为已收悉，并有责任履行相应的义务。</w:t>
      </w:r>
    </w:p>
    <w:p>
      <w:pPr>
        <w:keepNext/>
        <w:keepLines/>
        <w:widowControl w:val="0"/>
        <w:numPr>
          <w:ilvl w:val="1"/>
          <w:numId w:val="0"/>
        </w:numPr>
        <w:tabs>
          <w:tab w:val="left" w:pos="567"/>
        </w:tabs>
        <w:autoSpaceDE/>
        <w:autoSpaceDN/>
        <w:spacing w:before="40" w:after="40" w:line="360" w:lineRule="auto"/>
        <w:ind w:left="0" w:right="0"/>
        <w:jc w:val="both"/>
        <w:rPr>
          <w:rFonts w:hint="eastAsia" w:ascii="宋体" w:hAnsi="宋体" w:eastAsia="宋体" w:cs="宋体"/>
          <w:b/>
          <w:bCs/>
          <w:color w:val="auto"/>
          <w:kern w:val="2"/>
          <w:sz w:val="21"/>
          <w:szCs w:val="21"/>
          <w:highlight w:val="none"/>
          <w:lang w:val="en-US" w:bidi="ar-SA"/>
        </w:rPr>
      </w:pPr>
      <w:bookmarkStart w:id="65" w:name="_Toc435345606"/>
      <w:bookmarkStart w:id="66" w:name="_Toc453844581"/>
      <w:bookmarkStart w:id="67" w:name="_Toc31675"/>
      <w:bookmarkStart w:id="68" w:name="_Toc259090942"/>
      <w:r>
        <w:rPr>
          <w:rFonts w:hint="eastAsia" w:ascii="宋体" w:hAnsi="宋体" w:eastAsia="宋体" w:cs="宋体"/>
          <w:b/>
          <w:bCs/>
          <w:color w:val="auto"/>
          <w:kern w:val="2"/>
          <w:sz w:val="21"/>
          <w:szCs w:val="21"/>
          <w:highlight w:val="none"/>
          <w:lang w:val="en-US" w:bidi="ar-SA"/>
        </w:rPr>
        <w:t>三、投标文件的编制</w:t>
      </w:r>
      <w:bookmarkEnd w:id="65"/>
      <w:bookmarkEnd w:id="66"/>
      <w:bookmarkEnd w:id="67"/>
      <w:bookmarkEnd w:id="68"/>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69" w:name="_Toc259090943"/>
      <w:bookmarkStart w:id="70" w:name="_Toc453844582"/>
      <w:bookmarkStart w:id="71" w:name="_Toc435345607"/>
      <w:r>
        <w:rPr>
          <w:rFonts w:hint="eastAsia" w:ascii="宋体" w:hAnsi="宋体" w:eastAsia="宋体" w:cs="宋体"/>
          <w:b/>
          <w:bCs/>
          <w:color w:val="auto"/>
          <w:kern w:val="2"/>
          <w:sz w:val="21"/>
          <w:szCs w:val="21"/>
          <w:highlight w:val="none"/>
          <w:lang w:val="en-US" w:bidi="ar-SA"/>
        </w:rPr>
        <w:t>5．投标的语言</w:t>
      </w:r>
      <w:bookmarkEnd w:id="69"/>
      <w:r>
        <w:rPr>
          <w:rFonts w:hint="eastAsia" w:ascii="宋体" w:hAnsi="宋体" w:eastAsia="宋体" w:cs="宋体"/>
          <w:b/>
          <w:bCs/>
          <w:color w:val="auto"/>
          <w:kern w:val="2"/>
          <w:sz w:val="21"/>
          <w:szCs w:val="21"/>
          <w:highlight w:val="none"/>
          <w:lang w:val="en-US" w:bidi="ar-SA"/>
        </w:rPr>
        <w:t>及计量</w:t>
      </w:r>
      <w:bookmarkEnd w:id="70"/>
      <w:bookmarkEnd w:id="71"/>
    </w:p>
    <w:p>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5.1投标人提交的投标文件以及投标人与（招标采购单位）就有关投标的所有来往函电均应使用中文。投标人提交的支持文件或者印刷的资料可以用另一种语言，但相应内容应附有中文翻译本，在解释投标文件的修改内容时以中文翻译本为准。对中文翻译有异议的，以权威机构的译本为准。</w:t>
      </w:r>
    </w:p>
    <w:p>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5.2除非招标文件中另有规定，投标人在投标文件中及其与招标采购单位的所有往来文件中的计量单位均应采用中华人民共和国法定计量单位。</w:t>
      </w:r>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72" w:name="_Toc435345608"/>
      <w:bookmarkStart w:id="73" w:name="_Toc259090944"/>
      <w:bookmarkStart w:id="74" w:name="_Toc453844583"/>
      <w:r>
        <w:rPr>
          <w:rFonts w:hint="eastAsia" w:ascii="宋体" w:hAnsi="宋体" w:eastAsia="宋体" w:cs="宋体"/>
          <w:b/>
          <w:bCs/>
          <w:color w:val="auto"/>
          <w:kern w:val="2"/>
          <w:sz w:val="21"/>
          <w:szCs w:val="21"/>
          <w:highlight w:val="none"/>
          <w:lang w:val="en-US" w:bidi="ar-SA"/>
        </w:rPr>
        <w:t>6．投标文件的构成</w:t>
      </w:r>
      <w:bookmarkEnd w:id="72"/>
      <w:bookmarkEnd w:id="73"/>
      <w:bookmarkEnd w:id="74"/>
    </w:p>
    <w:p>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6.1投标文件的构成应符合法律法规及招标文件的要求，具体内容应包括但不少于本招标文件《投标文件格式》的所有内容。</w:t>
      </w:r>
    </w:p>
    <w:p>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6.2投标文件必须按照招标文件要求签署、盖章（不接受电子公章、电子签名或者电子签章)。</w:t>
      </w:r>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75" w:name="_Toc453844584"/>
      <w:bookmarkStart w:id="76" w:name="_Toc259090945"/>
      <w:bookmarkStart w:id="77" w:name="_Toc435345609"/>
      <w:r>
        <w:rPr>
          <w:rFonts w:hint="eastAsia" w:ascii="宋体" w:hAnsi="宋体" w:eastAsia="宋体" w:cs="宋体"/>
          <w:b/>
          <w:bCs/>
          <w:color w:val="auto"/>
          <w:kern w:val="2"/>
          <w:sz w:val="21"/>
          <w:szCs w:val="21"/>
          <w:highlight w:val="none"/>
          <w:lang w:val="en-US" w:bidi="ar-SA"/>
        </w:rPr>
        <w:t>7．投标文件编制</w:t>
      </w:r>
      <w:bookmarkEnd w:id="75"/>
      <w:bookmarkEnd w:id="76"/>
      <w:bookmarkEnd w:id="77"/>
    </w:p>
    <w:p>
      <w:pPr>
        <w:widowControl w:val="0"/>
        <w:adjustRightInd w:val="0"/>
        <w:snapToGrid w:val="0"/>
        <w:spacing w:line="360" w:lineRule="auto"/>
        <w:ind w:left="420" w:hanging="420" w:hanging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7.1投标人应当对投标文件进行装订，对未经装订的投标文件可能发生的文件散落或缺损，由此产生的后果由投标人承担。</w:t>
      </w:r>
    </w:p>
    <w:p>
      <w:pPr>
        <w:widowControl w:val="0"/>
        <w:adjustRightInd w:val="0"/>
        <w:snapToGrid w:val="0"/>
        <w:spacing w:line="360" w:lineRule="auto"/>
        <w:ind w:left="420" w:hanging="420" w:hanging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7.2投标人应完整、真实、准确的填写招标文件中规定的所有内容。</w:t>
      </w:r>
    </w:p>
    <w:p>
      <w:pPr>
        <w:widowControl w:val="0"/>
        <w:adjustRightInd w:val="0"/>
        <w:snapToGrid w:val="0"/>
        <w:spacing w:line="360" w:lineRule="auto"/>
        <w:ind w:left="420" w:hanging="420" w:hanging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7.3投标人必须对投标文件所提供的全部资料的真实性承担法律责任，并无条件接受招标采购单位对其中任何资料进行核实的要求。</w:t>
      </w:r>
    </w:p>
    <w:p>
      <w:pPr>
        <w:widowControl w:val="0"/>
        <w:adjustRightInd w:val="0"/>
        <w:snapToGrid w:val="0"/>
        <w:spacing w:line="360" w:lineRule="auto"/>
        <w:ind w:left="420" w:hanging="420" w:hanging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7.4如果因为投标人投标文件填报的内容不详，或没有提供招标文件中所要求的全部资料及数据，由此造成的后果由投标人承担。</w:t>
      </w:r>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78" w:name="_Toc259090946"/>
      <w:bookmarkStart w:id="79" w:name="_Toc453844585"/>
      <w:bookmarkStart w:id="80" w:name="_Toc435345610"/>
      <w:r>
        <w:rPr>
          <w:rFonts w:hint="eastAsia" w:ascii="宋体" w:hAnsi="宋体" w:eastAsia="宋体" w:cs="宋体"/>
          <w:b/>
          <w:bCs/>
          <w:color w:val="auto"/>
          <w:kern w:val="2"/>
          <w:sz w:val="21"/>
          <w:szCs w:val="21"/>
          <w:highlight w:val="none"/>
          <w:lang w:val="en-US" w:bidi="ar-SA"/>
        </w:rPr>
        <w:t>8．投标报价</w:t>
      </w:r>
      <w:bookmarkEnd w:id="78"/>
      <w:bookmarkEnd w:id="79"/>
      <w:bookmarkEnd w:id="80"/>
    </w:p>
    <w:p>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8.1如招标文件无特殊规定，投标价格以人民币填报。</w:t>
      </w:r>
    </w:p>
    <w:p>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8.2投标人应按照《投标人须知前附表》《用户需求书》规定的内容进行报价，并按《报价表》确定的格式报出价格。投标总价中不得包含招标文件要求以外的内容，否则，在评标时不予核减。投标总价中也不得缺漏招标文件所要求的内容，否则，视为该漏报或者不报部分的费用已包括在已报的分项报价中而不予支付。</w:t>
      </w:r>
    </w:p>
    <w:p>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8.3《投标分项报价表》填写时应响应下列要求：</w:t>
      </w:r>
    </w:p>
    <w:p>
      <w:pPr>
        <w:widowControl w:val="0"/>
        <w:autoSpaceDE/>
        <w:autoSpaceDN/>
        <w:adjustRightInd w:val="0"/>
        <w:snapToGrid w:val="0"/>
        <w:spacing w:before="0" w:after="0" w:line="360" w:lineRule="auto"/>
        <w:ind w:left="650" w:leftChars="200" w:right="0" w:hanging="210" w:hangingChars="1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 所有根据合同或者其他原因应由投标人支付的税款和其他应缴纳的费用都要包括在投标人提交的投标价格中；</w:t>
      </w:r>
    </w:p>
    <w:p>
      <w:pPr>
        <w:widowControl w:val="0"/>
        <w:autoSpaceDE/>
        <w:autoSpaceDN/>
        <w:adjustRightInd w:val="0"/>
        <w:snapToGrid w:val="0"/>
        <w:spacing w:before="0" w:after="0" w:line="360" w:lineRule="auto"/>
        <w:ind w:left="700" w:right="0" w:hanging="280"/>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kern w:val="2"/>
          <w:sz w:val="21"/>
          <w:szCs w:val="21"/>
          <w:highlight w:val="none"/>
          <w:lang w:val="en-US" w:bidi="ar-SA"/>
        </w:rPr>
        <w:t xml:space="preserve">2） </w:t>
      </w:r>
      <w:r>
        <w:rPr>
          <w:rFonts w:hint="eastAsia" w:ascii="宋体" w:hAnsi="宋体" w:eastAsia="宋体" w:cs="宋体"/>
          <w:color w:val="auto"/>
          <w:sz w:val="21"/>
          <w:szCs w:val="21"/>
          <w:highlight w:val="none"/>
          <w:lang w:val="en-US" w:bidi="ar-SA"/>
        </w:rPr>
        <w:t>应包含货物运至最终目的地的运输、保险和伴随货物服务的其他所有费用。</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sz w:val="21"/>
          <w:szCs w:val="21"/>
          <w:highlight w:val="none"/>
          <w:lang w:val="en-US" w:bidi="ar-SA"/>
        </w:rPr>
        <w:t>8.4</w:t>
      </w:r>
      <w:r>
        <w:rPr>
          <w:rFonts w:hint="eastAsia" w:ascii="宋体" w:hAnsi="宋体" w:eastAsia="宋体" w:cs="宋体"/>
          <w:color w:val="auto"/>
          <w:kern w:val="2"/>
          <w:sz w:val="21"/>
          <w:szCs w:val="21"/>
          <w:highlight w:val="none"/>
          <w:lang w:val="en-US" w:bidi="ar-SA"/>
        </w:rPr>
        <w:t>投标文件报价出现前后不一致的，按照下列规定修正：（一）投标文件中</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bidi="ar-SA"/>
        </w:rPr>
        <w:t>报价表</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bidi="ar-SA"/>
        </w:rPr>
        <w:t>内容与投标文件中相应内容不一致的，以开标一览表《报价表》为准；（二）大写金额和小写金额不一致的，以大写金额为准；（三）单价金额小数点或者百分比有明显错位的，以开标一览表的总价为准，并修改单价；（四）总价金额与按单价汇总金额不一致的，以单价金额计算结果为准。同时出现两种以上不一致的，按照前款规定的顺序修正。</w:t>
      </w:r>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81" w:name="_Toc453844586"/>
      <w:bookmarkStart w:id="82" w:name="_Toc435345611"/>
      <w:bookmarkStart w:id="83" w:name="_Toc259090947"/>
      <w:r>
        <w:rPr>
          <w:rFonts w:hint="eastAsia" w:ascii="宋体" w:hAnsi="宋体" w:eastAsia="宋体" w:cs="宋体"/>
          <w:b/>
          <w:bCs/>
          <w:color w:val="auto"/>
          <w:kern w:val="2"/>
          <w:sz w:val="21"/>
          <w:szCs w:val="21"/>
          <w:highlight w:val="none"/>
          <w:lang w:val="en-US" w:bidi="ar-SA"/>
        </w:rPr>
        <w:t>9．备选方案</w:t>
      </w:r>
      <w:bookmarkEnd w:id="81"/>
      <w:bookmarkEnd w:id="82"/>
      <w:bookmarkEnd w:id="83"/>
    </w:p>
    <w:p>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9.1只允许投标人有一个投标方案，否则将被视为无效投标。（招标文件允许有备选方案的除外）</w:t>
      </w:r>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84" w:name="_Toc453844587"/>
      <w:bookmarkStart w:id="85" w:name="_Toc259090949"/>
      <w:bookmarkStart w:id="86" w:name="_Toc435345612"/>
      <w:r>
        <w:rPr>
          <w:rFonts w:hint="eastAsia" w:ascii="宋体" w:hAnsi="宋体" w:eastAsia="宋体" w:cs="宋体"/>
          <w:b/>
          <w:bCs/>
          <w:color w:val="auto"/>
          <w:kern w:val="2"/>
          <w:sz w:val="21"/>
          <w:szCs w:val="21"/>
          <w:highlight w:val="none"/>
          <w:lang w:val="en-US" w:bidi="ar-SA"/>
        </w:rPr>
        <w:t>10．投标人资格证明文件</w:t>
      </w:r>
      <w:bookmarkEnd w:id="84"/>
      <w:bookmarkEnd w:id="85"/>
      <w:bookmarkEnd w:id="86"/>
    </w:p>
    <w:p>
      <w:pPr>
        <w:widowControl w:val="0"/>
        <w:tabs>
          <w:tab w:val="left" w:pos="7740"/>
        </w:tabs>
        <w:autoSpaceDE/>
        <w:autoSpaceDN/>
        <w:adjustRightInd w:val="0"/>
        <w:snapToGrid w:val="0"/>
        <w:spacing w:before="0" w:after="0" w:line="360" w:lineRule="auto"/>
        <w:ind w:left="420" w:right="0" w:hanging="42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10.1投标人应按招标文件的要求，提交证明其有资格参加投标和中标后有履行合同能力的文件，并作为其投标文件的组成部分，内容详见招标文件《投标文件格式》中的“资格性文件”。</w:t>
      </w:r>
    </w:p>
    <w:p>
      <w:pPr>
        <w:widowControl w:val="0"/>
        <w:tabs>
          <w:tab w:val="left" w:pos="7740"/>
        </w:tabs>
        <w:autoSpaceDE/>
        <w:autoSpaceDN/>
        <w:adjustRightInd w:val="0"/>
        <w:snapToGrid w:val="0"/>
        <w:spacing w:before="0" w:after="0" w:line="360" w:lineRule="auto"/>
        <w:ind w:left="420" w:right="0" w:hanging="42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10.2资格证明文件必须真实有效，复印件必须加盖单位印章；招标文件投标人资格要求或者《投标文件格式》中的“资格性文件”要求携带原件的，投标人应该在开标现场向评标委员会提供原件核对，否则将作无效投标处理。</w:t>
      </w:r>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87" w:name="_Toc222823292"/>
      <w:bookmarkStart w:id="88" w:name="_Toc259090951"/>
      <w:bookmarkStart w:id="89" w:name="_Toc453844589"/>
      <w:bookmarkStart w:id="90" w:name="_Toc230597966"/>
      <w:bookmarkStart w:id="91" w:name="_Toc42923352"/>
      <w:bookmarkStart w:id="92" w:name="_Toc435345614"/>
      <w:r>
        <w:rPr>
          <w:rFonts w:hint="eastAsia" w:ascii="宋体" w:hAnsi="宋体" w:eastAsia="宋体" w:cs="宋体"/>
          <w:b/>
          <w:bCs/>
          <w:color w:val="auto"/>
          <w:kern w:val="2"/>
          <w:sz w:val="21"/>
          <w:szCs w:val="21"/>
          <w:highlight w:val="none"/>
          <w:lang w:val="en-US" w:bidi="ar-SA"/>
        </w:rPr>
        <w:t>11．投标有效期</w:t>
      </w:r>
      <w:bookmarkEnd w:id="87"/>
      <w:bookmarkEnd w:id="88"/>
      <w:bookmarkEnd w:id="89"/>
      <w:bookmarkEnd w:id="90"/>
      <w:bookmarkEnd w:id="91"/>
      <w:bookmarkEnd w:id="92"/>
    </w:p>
    <w:p>
      <w:pPr>
        <w:widowControl w:val="0"/>
        <w:autoSpaceDE w:val="0"/>
        <w:autoSpaceDN w:val="0"/>
        <w:adjustRightInd w:val="0"/>
        <w:snapToGrid w:val="0"/>
        <w:spacing w:before="0" w:after="0" w:line="360" w:lineRule="auto"/>
        <w:ind w:left="473" w:right="32"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kern w:val="2"/>
          <w:sz w:val="21"/>
          <w:szCs w:val="21"/>
          <w:highlight w:val="none"/>
          <w:lang w:val="en-US" w:bidi="ar-SA"/>
        </w:rPr>
        <w:t>11</w:t>
      </w:r>
      <w:r>
        <w:rPr>
          <w:rFonts w:hint="eastAsia" w:ascii="宋体" w:hAnsi="宋体" w:eastAsia="宋体" w:cs="宋体"/>
          <w:color w:val="auto"/>
          <w:sz w:val="21"/>
          <w:szCs w:val="21"/>
          <w:highlight w:val="none"/>
          <w:lang w:val="en-US" w:bidi="ar-SA"/>
        </w:rPr>
        <w:t>.1 投标文件应在《投标人须知前附表》规定的时间内保持有效。投标有效期比规定时间短的将作无效投标处理。</w:t>
      </w:r>
    </w:p>
    <w:p>
      <w:pPr>
        <w:widowControl w:val="0"/>
        <w:autoSpaceDE w:val="0"/>
        <w:autoSpaceDN w:val="0"/>
        <w:adjustRightInd w:val="0"/>
        <w:snapToGrid w:val="0"/>
        <w:spacing w:before="0" w:after="0" w:line="360" w:lineRule="auto"/>
        <w:ind w:left="473" w:right="32"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kern w:val="2"/>
          <w:sz w:val="21"/>
          <w:szCs w:val="21"/>
          <w:highlight w:val="none"/>
          <w:lang w:val="en-US" w:bidi="ar-SA"/>
        </w:rPr>
        <w:t>11</w:t>
      </w:r>
      <w:r>
        <w:rPr>
          <w:rFonts w:hint="eastAsia" w:ascii="宋体" w:hAnsi="宋体" w:eastAsia="宋体" w:cs="宋体"/>
          <w:color w:val="auto"/>
          <w:sz w:val="21"/>
          <w:szCs w:val="21"/>
          <w:highlight w:val="none"/>
          <w:lang w:val="en-US" w:bidi="ar-SA"/>
        </w:rPr>
        <w:t>.2 特殊情况下，采购人可于投标有效期期满之前，要求投标人同意延长投标有效期，要求与答复均应为书面形式。投标人可以拒绝上述要求。对于同意该要求的投标人，既不要求也不允许其修改投标文件。</w:t>
      </w:r>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93" w:name="_Toc453844590"/>
      <w:bookmarkStart w:id="94" w:name="_Toc435345615"/>
      <w:bookmarkStart w:id="95" w:name="_Toc259090952"/>
      <w:r>
        <w:rPr>
          <w:rFonts w:hint="eastAsia" w:ascii="宋体" w:hAnsi="宋体" w:eastAsia="宋体" w:cs="宋体"/>
          <w:b/>
          <w:bCs/>
          <w:color w:val="auto"/>
          <w:kern w:val="2"/>
          <w:sz w:val="21"/>
          <w:szCs w:val="21"/>
          <w:highlight w:val="none"/>
          <w:lang w:val="en-US" w:bidi="ar-SA"/>
        </w:rPr>
        <w:t>12．投标文件的数量和签署</w:t>
      </w:r>
      <w:bookmarkEnd w:id="93"/>
      <w:bookmarkEnd w:id="94"/>
      <w:bookmarkEnd w:id="95"/>
    </w:p>
    <w:p>
      <w:pPr>
        <w:widowControl w:val="0"/>
        <w:autoSpaceDE w:val="0"/>
        <w:autoSpaceDN w:val="0"/>
        <w:adjustRightInd w:val="0"/>
        <w:snapToGrid w:val="0"/>
        <w:spacing w:before="0" w:after="0" w:line="360" w:lineRule="auto"/>
        <w:ind w:left="473" w:right="32"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12.1 投标人应按《投标人须知前附表》规定的数量提交投标文件，投标文件的副本可采用正本的复印件。每套投标文件须清楚地标明“正本”“副本”。若副本与正本不符，以正本为准。</w:t>
      </w:r>
    </w:p>
    <w:p>
      <w:pPr>
        <w:widowControl w:val="0"/>
        <w:autoSpaceDE w:val="0"/>
        <w:autoSpaceDN w:val="0"/>
        <w:adjustRightInd w:val="0"/>
        <w:snapToGrid w:val="0"/>
        <w:spacing w:before="0" w:after="0" w:line="360" w:lineRule="auto"/>
        <w:ind w:left="473" w:right="32"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12.2 投标文件的正本需打印或者用不褪色墨水书写，并由法定代表人或者经其正式授权的代表签字，被授权代表签字的应在投标文件中附《法定代表人授权书》。</w:t>
      </w:r>
    </w:p>
    <w:p>
      <w:pPr>
        <w:widowControl w:val="0"/>
        <w:autoSpaceDE/>
        <w:autoSpaceDN/>
        <w:adjustRightInd w:val="0"/>
        <w:snapToGrid w:val="0"/>
        <w:spacing w:before="0" w:after="0" w:line="360" w:lineRule="auto"/>
        <w:ind w:left="473"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12.3 投标文件中的任何重要的插字、涂改和增删，必须由法定代表人或者经其正式授权的代表在旁边签章或者签字才有效。（暗标除外）</w:t>
      </w:r>
    </w:p>
    <w:p>
      <w:pPr>
        <w:widowControl w:val="0"/>
        <w:autoSpaceDE/>
        <w:autoSpaceDN/>
        <w:adjustRightInd w:val="0"/>
        <w:snapToGrid w:val="0"/>
        <w:spacing w:before="0" w:after="0" w:line="360" w:lineRule="auto"/>
        <w:ind w:left="473"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12.4招标文件中已明示需盖章签名处，均须加盖投标人公章，并经投标人法定代表人或者其授权委托人签名或者盖章。（暗标除外）</w:t>
      </w:r>
    </w:p>
    <w:p>
      <w:pPr>
        <w:widowControl w:val="0"/>
        <w:autoSpaceDE/>
        <w:autoSpaceDN/>
        <w:adjustRightInd w:val="0"/>
        <w:snapToGrid w:val="0"/>
        <w:spacing w:before="0" w:after="0" w:line="360" w:lineRule="auto"/>
        <w:ind w:left="473"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12.5电报、电话、传真形式的投标文件概不接受。</w:t>
      </w:r>
    </w:p>
    <w:p>
      <w:pPr>
        <w:keepNext/>
        <w:keepLines/>
        <w:widowControl w:val="0"/>
        <w:numPr>
          <w:ilvl w:val="1"/>
          <w:numId w:val="0"/>
        </w:numPr>
        <w:tabs>
          <w:tab w:val="left" w:pos="567"/>
        </w:tabs>
        <w:autoSpaceDE/>
        <w:autoSpaceDN/>
        <w:spacing w:before="40" w:after="40" w:line="360" w:lineRule="auto"/>
        <w:ind w:left="0" w:right="0"/>
        <w:jc w:val="both"/>
        <w:rPr>
          <w:rFonts w:hint="eastAsia" w:ascii="宋体" w:hAnsi="宋体" w:eastAsia="宋体" w:cs="宋体"/>
          <w:b/>
          <w:bCs/>
          <w:color w:val="auto"/>
          <w:kern w:val="2"/>
          <w:sz w:val="21"/>
          <w:szCs w:val="21"/>
          <w:highlight w:val="none"/>
          <w:lang w:val="en-US" w:bidi="ar-SA"/>
        </w:rPr>
      </w:pPr>
      <w:bookmarkStart w:id="96" w:name="_Toc259090953"/>
      <w:bookmarkStart w:id="97" w:name="_Toc24707"/>
      <w:bookmarkStart w:id="98" w:name="_Toc435345616"/>
      <w:bookmarkStart w:id="99" w:name="_Toc453844591"/>
      <w:r>
        <w:rPr>
          <w:rFonts w:hint="eastAsia" w:ascii="宋体" w:hAnsi="宋体" w:eastAsia="宋体" w:cs="宋体"/>
          <w:b/>
          <w:bCs/>
          <w:color w:val="auto"/>
          <w:kern w:val="2"/>
          <w:sz w:val="21"/>
          <w:szCs w:val="21"/>
          <w:highlight w:val="none"/>
          <w:lang w:val="en-US" w:bidi="ar-SA"/>
        </w:rPr>
        <w:t>四、投标文件的递交</w:t>
      </w:r>
      <w:bookmarkEnd w:id="96"/>
      <w:bookmarkEnd w:id="97"/>
      <w:bookmarkEnd w:id="98"/>
      <w:bookmarkEnd w:id="99"/>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100" w:name="_Toc259090954"/>
      <w:bookmarkStart w:id="101" w:name="_Toc453844592"/>
      <w:bookmarkStart w:id="102" w:name="_Toc435345617"/>
      <w:r>
        <w:rPr>
          <w:rFonts w:hint="eastAsia" w:ascii="宋体" w:hAnsi="宋体" w:eastAsia="宋体" w:cs="宋体"/>
          <w:b/>
          <w:bCs/>
          <w:color w:val="auto"/>
          <w:kern w:val="2"/>
          <w:sz w:val="21"/>
          <w:szCs w:val="21"/>
          <w:highlight w:val="none"/>
          <w:lang w:val="en-US" w:bidi="ar-SA"/>
        </w:rPr>
        <w:t>13．投标文件的密封和标记</w:t>
      </w:r>
      <w:bookmarkEnd w:id="100"/>
      <w:bookmarkEnd w:id="101"/>
      <w:bookmarkEnd w:id="102"/>
    </w:p>
    <w:p>
      <w:pPr>
        <w:widowControl w:val="0"/>
        <w:tabs>
          <w:tab w:val="left" w:pos="7740"/>
        </w:tabs>
        <w:autoSpaceDE/>
        <w:autoSpaceDN/>
        <w:adjustRightInd w:val="0"/>
        <w:snapToGrid w:val="0"/>
        <w:spacing w:before="0" w:after="0" w:line="360" w:lineRule="auto"/>
        <w:ind w:left="473"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13.1投标人应将投标文件正本和副本进行密封。</w:t>
      </w:r>
    </w:p>
    <w:p>
      <w:pPr>
        <w:widowControl w:val="0"/>
        <w:tabs>
          <w:tab w:val="left" w:pos="7740"/>
        </w:tabs>
        <w:autoSpaceDE/>
        <w:autoSpaceDN/>
        <w:adjustRightInd w:val="0"/>
        <w:snapToGrid w:val="0"/>
        <w:spacing w:before="0" w:after="0" w:line="360" w:lineRule="auto"/>
        <w:ind w:left="473"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13.2每一密封信封均应：</w:t>
      </w:r>
    </w:p>
    <w:p>
      <w:pPr>
        <w:widowControl w:val="0"/>
        <w:tabs>
          <w:tab w:val="left" w:pos="7740"/>
        </w:tabs>
        <w:autoSpaceDE/>
        <w:autoSpaceDN/>
        <w:adjustRightInd w:val="0"/>
        <w:snapToGrid w:val="0"/>
        <w:spacing w:before="0" w:after="0" w:line="360" w:lineRule="auto"/>
        <w:ind w:left="1294" w:leftChars="343" w:right="0" w:hanging="539" w:hangingChars="257"/>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（1）标明项目编号、项目名称，并注明“正本”或者“副本”字样；</w:t>
      </w:r>
    </w:p>
    <w:p>
      <w:pPr>
        <w:widowControl w:val="0"/>
        <w:tabs>
          <w:tab w:val="left" w:pos="7740"/>
        </w:tabs>
        <w:autoSpaceDE/>
        <w:autoSpaceDN/>
        <w:adjustRightInd w:val="0"/>
        <w:snapToGrid w:val="0"/>
        <w:spacing w:before="0" w:after="0" w:line="360" w:lineRule="auto"/>
        <w:ind w:left="1294" w:leftChars="343" w:right="0" w:hanging="539" w:hangingChars="257"/>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（2）注明“于（投标截止时间）之前不准启封”的字样。</w:t>
      </w:r>
    </w:p>
    <w:p>
      <w:pPr>
        <w:widowControl w:val="0"/>
        <w:tabs>
          <w:tab w:val="left" w:pos="7740"/>
        </w:tabs>
        <w:autoSpaceDE/>
        <w:autoSpaceDN/>
        <w:adjustRightInd w:val="0"/>
        <w:snapToGrid w:val="0"/>
        <w:spacing w:before="0" w:after="0" w:line="360" w:lineRule="auto"/>
        <w:ind w:left="1294" w:leftChars="343" w:right="0" w:hanging="539" w:hangingChars="257"/>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（3）</w:t>
      </w:r>
      <w:r>
        <w:rPr>
          <w:rFonts w:hint="eastAsia" w:ascii="宋体" w:hAnsi="宋体" w:eastAsia="宋体" w:cs="宋体"/>
          <w:color w:val="auto"/>
          <w:kern w:val="2"/>
          <w:sz w:val="21"/>
          <w:szCs w:val="21"/>
          <w:highlight w:val="none"/>
          <w:lang w:val="en-US" w:bidi="ar-SA"/>
        </w:rPr>
        <w:t>封口处应加盖投标人印章</w:t>
      </w:r>
      <w:r>
        <w:rPr>
          <w:rFonts w:hint="eastAsia" w:ascii="宋体" w:hAnsi="宋体" w:eastAsia="宋体" w:cs="宋体"/>
          <w:color w:val="auto"/>
          <w:sz w:val="21"/>
          <w:szCs w:val="21"/>
          <w:highlight w:val="none"/>
          <w:lang w:val="en-US" w:bidi="ar-SA"/>
        </w:rPr>
        <w:t>。</w:t>
      </w:r>
    </w:p>
    <w:p>
      <w:pPr>
        <w:widowControl w:val="0"/>
        <w:tabs>
          <w:tab w:val="left" w:pos="7740"/>
        </w:tabs>
        <w:autoSpaceDE/>
        <w:autoSpaceDN/>
        <w:adjustRightInd w:val="0"/>
        <w:snapToGrid w:val="0"/>
        <w:spacing w:before="0" w:after="0" w:line="360" w:lineRule="auto"/>
        <w:ind w:left="473"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13.3如果信封未按本须知第14.1条和第14.2条要求进行密封和标记的，采购人不会拒绝接收其投标文件，但采购人对误投或者过早启封以及由此造成的风险和损失概不负责。</w:t>
      </w:r>
    </w:p>
    <w:p>
      <w:pPr>
        <w:widowControl w:val="0"/>
        <w:autoSpaceDE/>
        <w:autoSpaceDN/>
        <w:adjustRightInd w:val="0"/>
        <w:snapToGrid w:val="0"/>
        <w:spacing w:before="0" w:after="0" w:line="360" w:lineRule="auto"/>
        <w:ind w:left="473" w:right="32"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13.4投标文件未密封的或者在递交截止时间后递交的，采购人将拒绝接收。</w:t>
      </w:r>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103" w:name="_Toc453844593"/>
      <w:bookmarkStart w:id="104" w:name="_Toc259090955"/>
      <w:bookmarkStart w:id="105" w:name="_Toc435345618"/>
      <w:r>
        <w:rPr>
          <w:rFonts w:hint="eastAsia" w:ascii="宋体" w:hAnsi="宋体" w:eastAsia="宋体" w:cs="宋体"/>
          <w:b/>
          <w:bCs/>
          <w:color w:val="auto"/>
          <w:kern w:val="2"/>
          <w:sz w:val="21"/>
          <w:szCs w:val="21"/>
          <w:highlight w:val="none"/>
          <w:lang w:val="en-US" w:bidi="ar-SA"/>
        </w:rPr>
        <w:t>14．投标截止期</w:t>
      </w:r>
      <w:bookmarkEnd w:id="103"/>
      <w:bookmarkEnd w:id="104"/>
      <w:bookmarkEnd w:id="105"/>
    </w:p>
    <w:p>
      <w:pPr>
        <w:widowControl w:val="0"/>
        <w:tabs>
          <w:tab w:val="left" w:pos="7740"/>
        </w:tabs>
        <w:autoSpaceDE/>
        <w:autoSpaceDN/>
        <w:adjustRightInd w:val="0"/>
        <w:snapToGrid w:val="0"/>
        <w:spacing w:before="0" w:after="0" w:line="360" w:lineRule="auto"/>
        <w:ind w:left="473"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14.1招标采购单位在《投标人须知前附表》中规定的地点和投标截止时间之前接收投标文件，超过截止时点后的投标为无效投标。“提交投标文件截止时间”和“开标时间”不包含最后一分钟。例如，提交投标文件截止时间为9:30表示截止时间为9点30分00秒。</w:t>
      </w:r>
    </w:p>
    <w:p>
      <w:pPr>
        <w:widowControl w:val="0"/>
        <w:autoSpaceDE/>
        <w:autoSpaceDN/>
        <w:adjustRightInd w:val="0"/>
        <w:snapToGrid w:val="0"/>
        <w:spacing w:before="0" w:after="0" w:line="360" w:lineRule="auto"/>
        <w:ind w:left="473" w:right="32" w:hanging="472" w:hangingChars="225"/>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sz w:val="21"/>
          <w:szCs w:val="21"/>
          <w:highlight w:val="none"/>
          <w:lang w:val="en-US" w:bidi="ar-SA"/>
        </w:rPr>
        <w:t>14.2招标采购单位可以按本须知5.规定，通过修改招标文件自行决定酌情延长投标截止期。在此情况下，招标采购单位和投标人受投标截止期制约的所有权利和义务均应延长至新的截止期。</w:t>
      </w:r>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106" w:name="_Toc259090956"/>
      <w:bookmarkStart w:id="107" w:name="_Toc435345619"/>
      <w:bookmarkStart w:id="108" w:name="_Toc453844594"/>
      <w:r>
        <w:rPr>
          <w:rFonts w:hint="eastAsia" w:ascii="宋体" w:hAnsi="宋体" w:eastAsia="宋体" w:cs="宋体"/>
          <w:b/>
          <w:bCs/>
          <w:color w:val="auto"/>
          <w:kern w:val="2"/>
          <w:sz w:val="21"/>
          <w:szCs w:val="21"/>
          <w:highlight w:val="none"/>
          <w:lang w:val="en-US" w:bidi="ar-SA"/>
        </w:rPr>
        <w:t>15．投标文件的修改和撤回</w:t>
      </w:r>
      <w:bookmarkEnd w:id="106"/>
      <w:bookmarkEnd w:id="107"/>
      <w:bookmarkEnd w:id="108"/>
    </w:p>
    <w:p>
      <w:pPr>
        <w:widowControl w:val="0"/>
        <w:tabs>
          <w:tab w:val="left" w:pos="7740"/>
        </w:tabs>
        <w:autoSpaceDE/>
        <w:autoSpaceDN/>
        <w:adjustRightInd w:val="0"/>
        <w:snapToGrid w:val="0"/>
        <w:spacing w:before="0" w:after="0" w:line="360" w:lineRule="auto"/>
        <w:ind w:left="473"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15.1投标人在投标截止时间前，可以对所递交的投标文件进行补充、修改或者撤回，并书面通知招标采购单位。补充、修改的内容应当按招标文件要求签署、盖章，并作为投标文件的组成部分。在投标截止时点之后，投标人不得对其投标文件做任何修改和补充。</w:t>
      </w:r>
    </w:p>
    <w:p>
      <w:pPr>
        <w:widowControl w:val="0"/>
        <w:tabs>
          <w:tab w:val="left" w:pos="7740"/>
        </w:tabs>
        <w:autoSpaceDE w:val="0"/>
        <w:autoSpaceDN w:val="0"/>
        <w:adjustRightInd w:val="0"/>
        <w:snapToGrid w:val="0"/>
        <w:spacing w:before="3" w:after="0" w:line="360" w:lineRule="auto"/>
        <w:ind w:left="525" w:right="32" w:hanging="525" w:hangingChars="250"/>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15.2投标人在递交投标文件后，可以撤回其投标，但投标人必须在规定的投标截止时点前以书面形式告知招标采购单位。从投标截止期至投标人承诺的投标有效期内，投标人不得撤回其投标。</w:t>
      </w:r>
    </w:p>
    <w:p>
      <w:pPr>
        <w:widowControl w:val="0"/>
        <w:autoSpaceDE/>
        <w:autoSpaceDN/>
        <w:adjustRightInd w:val="0"/>
        <w:snapToGrid w:val="0"/>
        <w:spacing w:before="0" w:after="0" w:line="360" w:lineRule="auto"/>
        <w:ind w:left="720" w:right="32" w:hanging="72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sz w:val="21"/>
          <w:szCs w:val="21"/>
          <w:highlight w:val="none"/>
          <w:lang w:val="en-US" w:bidi="ar-SA"/>
        </w:rPr>
        <w:t>15</w:t>
      </w:r>
      <w:r>
        <w:rPr>
          <w:rFonts w:hint="eastAsia" w:ascii="宋体" w:hAnsi="宋体" w:eastAsia="宋体" w:cs="宋体"/>
          <w:color w:val="auto"/>
          <w:kern w:val="2"/>
          <w:sz w:val="21"/>
          <w:szCs w:val="21"/>
          <w:highlight w:val="none"/>
          <w:lang w:val="en-US" w:bidi="ar-SA"/>
        </w:rPr>
        <w:t>.3投标人所提交的投标文件在评标结束后，无论中标与否都不退还。</w:t>
      </w:r>
    </w:p>
    <w:p>
      <w:pPr>
        <w:keepNext/>
        <w:keepLines/>
        <w:widowControl w:val="0"/>
        <w:numPr>
          <w:ilvl w:val="1"/>
          <w:numId w:val="0"/>
        </w:numPr>
        <w:tabs>
          <w:tab w:val="left" w:pos="567"/>
        </w:tabs>
        <w:autoSpaceDE/>
        <w:autoSpaceDN/>
        <w:spacing w:before="40" w:after="40" w:line="360" w:lineRule="auto"/>
        <w:ind w:left="0" w:right="0"/>
        <w:jc w:val="both"/>
        <w:rPr>
          <w:rFonts w:hint="eastAsia" w:ascii="宋体" w:hAnsi="宋体" w:eastAsia="宋体" w:cs="宋体"/>
          <w:b/>
          <w:bCs/>
          <w:color w:val="auto"/>
          <w:kern w:val="2"/>
          <w:sz w:val="21"/>
          <w:szCs w:val="21"/>
          <w:highlight w:val="none"/>
          <w:lang w:val="en-US" w:bidi="ar-SA"/>
        </w:rPr>
      </w:pPr>
      <w:bookmarkStart w:id="109" w:name="_Toc453844595"/>
      <w:bookmarkStart w:id="110" w:name="_Toc11608"/>
      <w:bookmarkStart w:id="111" w:name="_Toc259090957"/>
      <w:bookmarkStart w:id="112" w:name="_Toc435345620"/>
      <w:r>
        <w:rPr>
          <w:rFonts w:hint="eastAsia" w:ascii="宋体" w:hAnsi="宋体" w:eastAsia="宋体" w:cs="宋体"/>
          <w:b/>
          <w:bCs/>
          <w:color w:val="auto"/>
          <w:kern w:val="2"/>
          <w:sz w:val="21"/>
          <w:szCs w:val="21"/>
          <w:highlight w:val="none"/>
          <w:lang w:val="en-US" w:bidi="ar-SA"/>
        </w:rPr>
        <w:t>五、开标、评标、定标</w:t>
      </w:r>
      <w:bookmarkEnd w:id="109"/>
      <w:bookmarkEnd w:id="110"/>
      <w:bookmarkEnd w:id="111"/>
      <w:bookmarkEnd w:id="112"/>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113" w:name="_Toc453844596"/>
      <w:bookmarkStart w:id="114" w:name="_Toc435345621"/>
      <w:bookmarkStart w:id="115" w:name="_Toc259090958"/>
      <w:r>
        <w:rPr>
          <w:rFonts w:hint="eastAsia" w:ascii="宋体" w:hAnsi="宋体" w:eastAsia="宋体" w:cs="宋体"/>
          <w:b/>
          <w:bCs/>
          <w:color w:val="auto"/>
          <w:kern w:val="2"/>
          <w:sz w:val="21"/>
          <w:szCs w:val="21"/>
          <w:highlight w:val="none"/>
          <w:lang w:val="en-US" w:bidi="ar-SA"/>
        </w:rPr>
        <w:t>17．开标</w:t>
      </w:r>
      <w:bookmarkEnd w:id="113"/>
      <w:bookmarkEnd w:id="114"/>
      <w:bookmarkEnd w:id="115"/>
    </w:p>
    <w:p>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16.1招标采购单位在《投标人须知前附表》中规定的日期、时间和地点组织公开开标。开标时原则上应当有采购人代表和投标人代表参加，投标人代表因自身原因未参加开标会议的，视同认可开标结果。参加开标的代表应签到以证明其出席。</w:t>
      </w:r>
    </w:p>
    <w:p>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16.2开标时，采购人邀请投标人对自己提交的投标文件的密封情况进行检查，当参加投标的投标人较多时，也可以由前三名递交投标文件的投标人被授权代表作为全体投标人推选的代表就全部投标文件的密封情况进行检查，经确认无误后由招标工作人员当众拆封。招标工作人员宣读投标人名称、投标价格、价格折扣、投标文件的其他主要内容和招标文件允许提供的备选投标方案。</w:t>
      </w:r>
    </w:p>
    <w:p>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16.3招标采购单位做好开标记录，开标记录由各投标人代表签字确认；如开标记录表内容与投标文件不一致，或者投标人对开标有异议的，投标人代表须当场提出。</w:t>
      </w:r>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116" w:name="_Toc259090959"/>
      <w:bookmarkStart w:id="117" w:name="_Toc435345622"/>
      <w:bookmarkStart w:id="118" w:name="_Toc453844597"/>
      <w:r>
        <w:rPr>
          <w:rFonts w:hint="eastAsia" w:ascii="宋体" w:hAnsi="宋体" w:eastAsia="宋体" w:cs="宋体"/>
          <w:b/>
          <w:bCs/>
          <w:color w:val="auto"/>
          <w:kern w:val="2"/>
          <w:sz w:val="21"/>
          <w:szCs w:val="21"/>
          <w:highlight w:val="none"/>
          <w:lang w:val="en-US" w:bidi="ar-SA"/>
        </w:rPr>
        <w:t>17．评标委员会</w:t>
      </w:r>
      <w:bookmarkEnd w:id="116"/>
      <w:bookmarkEnd w:id="117"/>
      <w:bookmarkEnd w:id="118"/>
    </w:p>
    <w:p>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17.1 评标由招标采购单位依照招标文件的规定，组建的评标委员会负责。评标委员会成员由采购人代表和技术、经济等方面的评审专家组成，采购人代表人数、专家人数及专业构成按招标文件规定确定。评标委员会成员依法从采购人的专家库中随机抽取。</w:t>
      </w:r>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119" w:name="_Toc453844598"/>
      <w:bookmarkStart w:id="120" w:name="_Toc435345623"/>
      <w:bookmarkStart w:id="121" w:name="_Toc259090960"/>
      <w:r>
        <w:rPr>
          <w:rFonts w:hint="eastAsia" w:ascii="宋体" w:hAnsi="宋体" w:eastAsia="宋体" w:cs="宋体"/>
          <w:b/>
          <w:bCs/>
          <w:color w:val="auto"/>
          <w:kern w:val="2"/>
          <w:sz w:val="21"/>
          <w:szCs w:val="21"/>
          <w:highlight w:val="none"/>
          <w:lang w:val="en-US" w:bidi="ar-SA"/>
        </w:rPr>
        <w:t>18．评标程序</w:t>
      </w:r>
      <w:bookmarkEnd w:id="119"/>
      <w:bookmarkEnd w:id="120"/>
    </w:p>
    <w:p>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18.1投标文件初步审查（初审）。初步审查分为资格审查和符合性审查。</w:t>
      </w:r>
    </w:p>
    <w:p>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18.1.1资格审查。依据法律法规和招标文件的规定，采购人或采购代理机构对投标文件中的资格证明等进行审查，以确定投标人是否具备投标资格。</w:t>
      </w:r>
    </w:p>
    <w:p>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18.1.2符合性审查。依据招标文件的规定，从投标文件的有效性、完整性和对招标文件的响应程度进行审查，以确定是否对招标文件的实质性要求作出响应。</w:t>
      </w:r>
    </w:p>
    <w:p>
      <w:pPr>
        <w:widowControl w:val="0"/>
        <w:tabs>
          <w:tab w:val="left" w:pos="8280"/>
        </w:tabs>
        <w:autoSpaceDE w:val="0"/>
        <w:autoSpaceDN w:val="0"/>
        <w:adjustRightInd w:val="0"/>
        <w:snapToGrid w:val="0"/>
        <w:spacing w:before="0" w:after="0" w:line="360" w:lineRule="auto"/>
        <w:ind w:left="473" w:right="32"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18.1.3在投标文件初审过程中，评标委员会要审查每份投标文件是否实质上响应了招标文件的要求。实质上响应的投标文件应该是与招标文件要求的关键条款、条件和规格相符没有实质偏离的投标文件。评标委员会决定投标文件的响应程度只依据投标文件本身内容，而不依据或者寻求任何外部的证据。</w:t>
      </w:r>
    </w:p>
    <w:p>
      <w:pPr>
        <w:widowControl w:val="0"/>
        <w:tabs>
          <w:tab w:val="left" w:pos="8280"/>
        </w:tabs>
        <w:autoSpaceDE w:val="0"/>
        <w:autoSpaceDN w:val="0"/>
        <w:adjustRightInd w:val="0"/>
        <w:snapToGrid w:val="0"/>
        <w:spacing w:before="0" w:after="0" w:line="360" w:lineRule="auto"/>
        <w:ind w:left="473" w:right="32"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18.1.4 实质上没有响应招标文件要求的投标将被视为无效投标。投标人不得通过修正或者撤销不合要求的偏离从而使其投标文件成为实质上响应的投标。</w:t>
      </w:r>
    </w:p>
    <w:p>
      <w:pPr>
        <w:widowControl w:val="0"/>
        <w:autoSpaceDE w:val="0"/>
        <w:autoSpaceDN w:val="0"/>
        <w:adjustRightInd w:val="0"/>
        <w:snapToGrid w:val="0"/>
        <w:spacing w:before="0" w:after="0" w:line="360" w:lineRule="auto"/>
        <w:ind w:left="540" w:right="32" w:hanging="539" w:hangingChars="257"/>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18.1.5 在投标文件初审过程中，如发现《投标人须知前附表》所列情形之一的，投标文件将确定为无效投标。</w:t>
      </w:r>
    </w:p>
    <w:p>
      <w:pPr>
        <w:widowControl w:val="0"/>
        <w:autoSpaceDE w:val="0"/>
        <w:autoSpaceDN w:val="0"/>
        <w:adjustRightInd w:val="0"/>
        <w:snapToGrid w:val="0"/>
        <w:spacing w:before="0" w:after="0" w:line="360" w:lineRule="auto"/>
        <w:ind w:left="540" w:right="32" w:hanging="539" w:hangingChars="257"/>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18.1.6对各投标人进行资格性和符合性审查过程中，对初步被认定为初审不合格或者无效投标者应实行及时告知投标当事人，以让其核证、澄清事实。</w:t>
      </w:r>
    </w:p>
    <w:p>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18.2澄清有关问题。</w:t>
      </w:r>
    </w:p>
    <w:p>
      <w:pPr>
        <w:widowControl w:val="0"/>
        <w:autoSpaceDE/>
        <w:autoSpaceDN/>
        <w:spacing w:before="0" w:after="0" w:line="360" w:lineRule="auto"/>
        <w:ind w:left="600" w:right="0" w:hanging="600"/>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18.2.1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被授权代表签字，但不得超出投标文件的范围或者改变投标文件的实质性内容。</w:t>
      </w:r>
    </w:p>
    <w:p>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w:t>
      </w:r>
      <w:r>
        <w:rPr>
          <w:rFonts w:hint="eastAsia" w:ascii="宋体" w:hAnsi="宋体" w:eastAsia="宋体" w:cs="宋体"/>
          <w:color w:val="auto"/>
          <w:kern w:val="2"/>
          <w:sz w:val="21"/>
          <w:szCs w:val="21"/>
          <w:highlight w:val="none"/>
          <w:lang w:val="en-US" w:bidi="ar-SA"/>
        </w:rPr>
        <w:t>.2.2 投标人的澄清文件是其投标文件的组成部分。</w:t>
      </w:r>
    </w:p>
    <w:p>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18.3比较与评价。按招标文件《投标人须知前附表》规定的评标方法和标准，对资格审查和符合性审查合格的投标文件进行商务和技术评估，综合比较与评价。</w:t>
      </w:r>
    </w:p>
    <w:p>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18.4按照《投标人须知前附表》所列数量推荐中标候选人名单。</w:t>
      </w:r>
    </w:p>
    <w:p>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18.5评标委员会认为（招标文件中存在含义不明确或者表述不一致的内容）需要采购人对招标文件条款进行澄清的，可以要求招标采购单位进行澄清，澄清不得背离招标文件的实质内容（不得超出招标文件的范围或者改变招标文件的真实意思表示）。</w:t>
      </w:r>
    </w:p>
    <w:p>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18.6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bookmarkEnd w:id="121"/>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122" w:name="_Toc259090963"/>
      <w:bookmarkStart w:id="123" w:name="_Toc453844599"/>
      <w:bookmarkStart w:id="124" w:name="_Toc435345624"/>
      <w:r>
        <w:rPr>
          <w:rFonts w:hint="eastAsia" w:ascii="宋体" w:hAnsi="宋体" w:eastAsia="宋体" w:cs="宋体"/>
          <w:b/>
          <w:bCs/>
          <w:color w:val="auto"/>
          <w:kern w:val="2"/>
          <w:sz w:val="21"/>
          <w:szCs w:val="21"/>
          <w:highlight w:val="none"/>
          <w:lang w:val="en-US" w:bidi="ar-SA"/>
        </w:rPr>
        <w:t>19．定标</w:t>
      </w:r>
      <w:bookmarkEnd w:id="122"/>
      <w:bookmarkEnd w:id="123"/>
      <w:bookmarkEnd w:id="124"/>
    </w:p>
    <w:p>
      <w:pPr>
        <w:widowControl w:val="0"/>
        <w:autoSpaceDE w:val="0"/>
        <w:autoSpaceDN w:val="0"/>
        <w:adjustRightInd w:val="0"/>
        <w:snapToGrid w:val="0"/>
        <w:spacing w:before="0" w:after="0" w:line="360" w:lineRule="auto"/>
        <w:ind w:left="525" w:right="32" w:hanging="525" w:hangingChars="250"/>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19.1定标程序。采购人在收到评标报告后五个工作日内，按照评标报告中推荐的中标候选人顺序确定中标人；也可以授权评标委员会直接确定中标人。具体见《投标人须知前附表》。</w:t>
      </w:r>
    </w:p>
    <w:p>
      <w:pPr>
        <w:widowControl w:val="0"/>
        <w:autoSpaceDE w:val="0"/>
        <w:autoSpaceDN w:val="0"/>
        <w:adjustRightInd w:val="0"/>
        <w:snapToGrid w:val="0"/>
        <w:spacing w:before="0" w:after="0" w:line="360" w:lineRule="auto"/>
        <w:ind w:left="525" w:right="32" w:hanging="525" w:hangingChars="250"/>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19.2 中标人确定后，招标采购单位将在招标文件指定的媒体上发布中标结果公告，并向中标人发出《中标通知书》，《中标通知书》对中标人和采购人具有同等法律效力。</w:t>
      </w:r>
    </w:p>
    <w:p>
      <w:pPr>
        <w:widowControl w:val="0"/>
        <w:autoSpaceDE w:val="0"/>
        <w:autoSpaceDN w:val="0"/>
        <w:adjustRightInd w:val="0"/>
        <w:snapToGrid w:val="0"/>
        <w:spacing w:before="0" w:after="0" w:line="360" w:lineRule="auto"/>
        <w:ind w:left="525" w:right="32" w:hanging="525" w:hangingChars="250"/>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19.3 中标结果公告的公告期限为1个工作日，结果公告同时作为采购人通知除中标人外的其他投标人没有中标的书面形式，采购人不再以其他形式另行通知。</w:t>
      </w:r>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125" w:name="_Toc259090964"/>
      <w:bookmarkStart w:id="126" w:name="_Toc435345625"/>
      <w:bookmarkStart w:id="127" w:name="_Toc453844600"/>
      <w:r>
        <w:rPr>
          <w:rFonts w:hint="eastAsia" w:ascii="宋体" w:hAnsi="宋体" w:eastAsia="宋体" w:cs="宋体"/>
          <w:b/>
          <w:bCs/>
          <w:color w:val="auto"/>
          <w:kern w:val="2"/>
          <w:sz w:val="21"/>
          <w:szCs w:val="21"/>
          <w:highlight w:val="none"/>
          <w:lang w:val="en-US" w:bidi="ar-SA"/>
        </w:rPr>
        <w:t>20．替补候选人的设定与使用</w:t>
      </w:r>
      <w:bookmarkEnd w:id="125"/>
      <w:bookmarkEnd w:id="126"/>
      <w:bookmarkEnd w:id="127"/>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128" w:name="_Toc230597979"/>
      <w:bookmarkStart w:id="129" w:name="_Toc453844601"/>
      <w:bookmarkStart w:id="130" w:name="_Toc435345626"/>
      <w:bookmarkStart w:id="131" w:name="_Toc259090965"/>
      <w:bookmarkStart w:id="132" w:name="_Toc42923365"/>
      <w:bookmarkStart w:id="133" w:name="_Toc222823305"/>
      <w:r>
        <w:rPr>
          <w:rFonts w:hint="eastAsia" w:ascii="宋体" w:hAnsi="宋体" w:eastAsia="宋体" w:cs="宋体"/>
          <w:color w:val="auto"/>
          <w:sz w:val="21"/>
          <w:szCs w:val="21"/>
          <w:highlight w:val="none"/>
          <w:lang w:val="en-US" w:bidi="ar-SA"/>
        </w:rPr>
        <w:t>20.1 中标人因不可抗力或者自身原因不能履行采购合同的，采购人可以与排位在中标人之后第一位的中标候选人签订采购合同（以此类推，但中标资格只顺延给中标候选人），或者重新组织招标。</w:t>
      </w:r>
      <w:r>
        <w:rPr>
          <w:rFonts w:hint="eastAsia" w:ascii="宋体" w:hAnsi="宋体" w:eastAsia="宋体" w:cs="宋体"/>
          <w:b/>
          <w:bCs/>
          <w:color w:val="auto"/>
          <w:kern w:val="2"/>
          <w:sz w:val="21"/>
          <w:szCs w:val="21"/>
          <w:highlight w:val="none"/>
          <w:lang w:val="en-US" w:bidi="ar-SA"/>
        </w:rPr>
        <w:t>21．评标注意事项</w:t>
      </w:r>
      <w:bookmarkEnd w:id="128"/>
      <w:bookmarkEnd w:id="129"/>
      <w:bookmarkEnd w:id="130"/>
      <w:bookmarkEnd w:id="131"/>
      <w:bookmarkEnd w:id="132"/>
      <w:bookmarkEnd w:id="133"/>
    </w:p>
    <w:p>
      <w:pPr>
        <w:widowControl w:val="0"/>
        <w:tabs>
          <w:tab w:val="left" w:pos="0"/>
          <w:tab w:val="left" w:pos="7740"/>
        </w:tabs>
        <w:autoSpaceDE/>
        <w:autoSpaceDN/>
        <w:adjustRightInd w:val="0"/>
        <w:snapToGrid w:val="0"/>
        <w:spacing w:before="0" w:after="0" w:line="360" w:lineRule="auto"/>
        <w:ind w:left="473"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12.1评委会除主动要求询标外，从开标后至发出《中标通知书》期间，任何投标人均不得就与其投标有关的任何问题与采购人及评标委员会联系。</w:t>
      </w:r>
    </w:p>
    <w:p>
      <w:pPr>
        <w:widowControl w:val="0"/>
        <w:tabs>
          <w:tab w:val="left" w:pos="0"/>
          <w:tab w:val="left" w:pos="7740"/>
        </w:tabs>
        <w:autoSpaceDE/>
        <w:autoSpaceDN/>
        <w:adjustRightInd w:val="0"/>
        <w:snapToGrid w:val="0"/>
        <w:spacing w:before="0" w:after="0" w:line="360" w:lineRule="auto"/>
        <w:ind w:left="473"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21.2为保证采购活动的公正性，除本须知20.2的规定外，在开标、评标过程中，评标委员会成员不得与投标人私下交换意见。在招标工作结束后，评标委员会成员和参与评标的有关工作人员不得泄漏对投标文件的评审和比较以及与评标有关的其他情况。</w:t>
      </w:r>
    </w:p>
    <w:p>
      <w:pPr>
        <w:keepNext/>
        <w:keepLines/>
        <w:widowControl w:val="0"/>
        <w:numPr>
          <w:ilvl w:val="1"/>
          <w:numId w:val="0"/>
        </w:numPr>
        <w:tabs>
          <w:tab w:val="left" w:pos="567"/>
        </w:tabs>
        <w:autoSpaceDE/>
        <w:autoSpaceDN/>
        <w:spacing w:before="40" w:after="40" w:line="360" w:lineRule="auto"/>
        <w:ind w:left="0" w:right="0"/>
        <w:jc w:val="both"/>
        <w:rPr>
          <w:rFonts w:hint="eastAsia" w:ascii="宋体" w:hAnsi="宋体" w:eastAsia="宋体" w:cs="宋体"/>
          <w:b/>
          <w:bCs/>
          <w:color w:val="auto"/>
          <w:kern w:val="2"/>
          <w:sz w:val="21"/>
          <w:szCs w:val="21"/>
          <w:highlight w:val="none"/>
          <w:lang w:val="en-US" w:bidi="ar-SA"/>
        </w:rPr>
      </w:pPr>
      <w:bookmarkStart w:id="134" w:name="_Toc259090966"/>
      <w:bookmarkStart w:id="135" w:name="_Toc453844603"/>
      <w:bookmarkStart w:id="136" w:name="_Toc435345628"/>
      <w:bookmarkStart w:id="137" w:name="_Toc21441"/>
      <w:r>
        <w:rPr>
          <w:rFonts w:hint="eastAsia" w:ascii="宋体" w:hAnsi="宋体" w:eastAsia="宋体" w:cs="宋体"/>
          <w:b/>
          <w:bCs/>
          <w:color w:val="auto"/>
          <w:kern w:val="2"/>
          <w:sz w:val="21"/>
          <w:szCs w:val="21"/>
          <w:highlight w:val="none"/>
          <w:lang w:val="en-US" w:bidi="ar-SA"/>
        </w:rPr>
        <w:t>六、合同的订立和履行</w:t>
      </w:r>
      <w:bookmarkEnd w:id="134"/>
      <w:bookmarkEnd w:id="135"/>
      <w:bookmarkEnd w:id="136"/>
      <w:bookmarkEnd w:id="137"/>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138" w:name="_Toc453844604"/>
      <w:bookmarkStart w:id="139" w:name="_Toc435345629"/>
      <w:bookmarkStart w:id="140" w:name="_Toc259090967"/>
      <w:r>
        <w:rPr>
          <w:rFonts w:hint="eastAsia" w:ascii="宋体" w:hAnsi="宋体" w:eastAsia="宋体" w:cs="宋体"/>
          <w:b/>
          <w:bCs/>
          <w:color w:val="auto"/>
          <w:kern w:val="2"/>
          <w:sz w:val="21"/>
          <w:szCs w:val="21"/>
          <w:highlight w:val="none"/>
          <w:lang w:val="en-US" w:bidi="ar-SA"/>
        </w:rPr>
        <w:t>22．合同的订立</w:t>
      </w:r>
      <w:bookmarkEnd w:id="138"/>
      <w:bookmarkEnd w:id="139"/>
      <w:bookmarkEnd w:id="140"/>
    </w:p>
    <w:p>
      <w:pPr>
        <w:widowControl w:val="0"/>
        <w:autoSpaceDE/>
        <w:autoSpaceDN/>
        <w:spacing w:before="0" w:after="0" w:line="360" w:lineRule="auto"/>
        <w:ind w:left="525" w:right="0" w:hanging="525" w:hangingChars="250"/>
        <w:jc w:val="both"/>
        <w:rPr>
          <w:rFonts w:hint="eastAsia" w:ascii="宋体" w:hAnsi="宋体" w:eastAsia="宋体" w:cs="宋体"/>
          <w:color w:val="auto"/>
          <w:sz w:val="21"/>
          <w:szCs w:val="21"/>
          <w:highlight w:val="none"/>
          <w:lang w:val="en-US" w:bidi="ar-SA"/>
        </w:rPr>
      </w:pPr>
      <w:bookmarkStart w:id="141" w:name="_Toc453844605"/>
      <w:bookmarkStart w:id="142" w:name="_Toc435345630"/>
      <w:bookmarkStart w:id="143" w:name="_Toc259090968"/>
      <w:r>
        <w:rPr>
          <w:rFonts w:hint="eastAsia" w:ascii="宋体" w:hAnsi="宋体" w:eastAsia="宋体" w:cs="宋体"/>
          <w:color w:val="auto"/>
          <w:sz w:val="21"/>
          <w:szCs w:val="21"/>
          <w:highlight w:val="none"/>
          <w:lang w:val="en-US" w:bidi="ar-SA"/>
        </w:rPr>
        <w:t>22.1 采购人与中标人自中标通知书发出之日起三十日内，按招标文件要求和中标人投标文件承诺签订采购合同，但不得超出招标文件和中标人投标文件的范围、也不得再行订立背离合同实质性内容的其他协议。</w:t>
      </w:r>
    </w:p>
    <w:bookmarkEnd w:id="141"/>
    <w:bookmarkEnd w:id="142"/>
    <w:bookmarkEnd w:id="143"/>
    <w:p>
      <w:pPr>
        <w:keepNext/>
        <w:keepLines/>
        <w:widowControl w:val="0"/>
        <w:numPr>
          <w:ilvl w:val="1"/>
          <w:numId w:val="0"/>
        </w:numPr>
        <w:tabs>
          <w:tab w:val="left" w:pos="567"/>
        </w:tabs>
        <w:autoSpaceDE/>
        <w:autoSpaceDN/>
        <w:spacing w:before="40" w:after="40" w:line="360" w:lineRule="auto"/>
        <w:ind w:left="0" w:right="0"/>
        <w:jc w:val="both"/>
        <w:rPr>
          <w:rFonts w:hint="eastAsia" w:ascii="宋体" w:hAnsi="宋体" w:eastAsia="宋体" w:cs="宋体"/>
          <w:b/>
          <w:bCs/>
          <w:color w:val="auto"/>
          <w:kern w:val="2"/>
          <w:sz w:val="21"/>
          <w:szCs w:val="21"/>
          <w:highlight w:val="none"/>
          <w:lang w:val="en-US" w:bidi="ar-SA"/>
        </w:rPr>
      </w:pPr>
      <w:bookmarkStart w:id="144" w:name="_Toc32378"/>
      <w:bookmarkStart w:id="145" w:name="_Toc259090969"/>
      <w:bookmarkStart w:id="146" w:name="_Toc453844606"/>
      <w:bookmarkStart w:id="147" w:name="_Toc435345631"/>
      <w:r>
        <w:rPr>
          <w:rFonts w:hint="eastAsia" w:ascii="宋体" w:hAnsi="宋体" w:eastAsia="宋体" w:cs="宋体"/>
          <w:b/>
          <w:bCs/>
          <w:color w:val="auto"/>
          <w:kern w:val="2"/>
          <w:sz w:val="21"/>
          <w:szCs w:val="21"/>
          <w:highlight w:val="none"/>
          <w:lang w:val="en-US" w:bidi="ar-SA"/>
        </w:rPr>
        <w:t>七、质疑</w:t>
      </w:r>
      <w:bookmarkEnd w:id="144"/>
      <w:bookmarkEnd w:id="145"/>
      <w:bookmarkEnd w:id="146"/>
      <w:bookmarkEnd w:id="147"/>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148" w:name="_Toc435345632"/>
      <w:bookmarkStart w:id="149" w:name="_Toc453844607"/>
      <w:bookmarkStart w:id="150" w:name="_Toc259090970"/>
      <w:r>
        <w:rPr>
          <w:rFonts w:hint="eastAsia" w:ascii="宋体" w:hAnsi="宋体" w:eastAsia="宋体" w:cs="宋体"/>
          <w:b/>
          <w:bCs/>
          <w:color w:val="auto"/>
          <w:kern w:val="2"/>
          <w:sz w:val="21"/>
          <w:szCs w:val="21"/>
          <w:highlight w:val="none"/>
          <w:lang w:val="en-US" w:bidi="ar-SA"/>
        </w:rPr>
        <w:t>23.质疑</w:t>
      </w:r>
      <w:bookmarkEnd w:id="148"/>
      <w:bookmarkEnd w:id="149"/>
      <w:bookmarkEnd w:id="150"/>
    </w:p>
    <w:p>
      <w:pPr>
        <w:widowControl w:val="0"/>
        <w:tabs>
          <w:tab w:val="left" w:pos="0"/>
        </w:tabs>
        <w:autoSpaceDE/>
        <w:autoSpaceDN/>
        <w:adjustRightInd w:val="0"/>
        <w:snapToGrid w:val="0"/>
        <w:spacing w:before="0" w:after="0" w:line="360" w:lineRule="auto"/>
        <w:ind w:left="473"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23.1如投标人认为本招标文件中存在“不合理的条件对投标人实行差别待遇或者歧视待遇”，或者对其他任何条款有异议，应当在获取招标文件或者招标文件公告期限届满之日起7个工作日内提出（投标人在法定质疑期内须一次性提出针对同一采购程序环节的质疑，针对同一采购程序环节提出的多次质疑将不予受理），否则视为无异议，采购人或采购代理机构将不再受理此后对招标文件的任何异议。接收质疑函的方式：书面形式。</w:t>
      </w:r>
    </w:p>
    <w:p>
      <w:pPr>
        <w:widowControl w:val="0"/>
        <w:ind w:left="0" w:leftChars="0" w:firstLine="0" w:firstLineChars="0"/>
        <w:jc w:val="both"/>
        <w:rPr>
          <w:rFonts w:hint="eastAsia" w:ascii="宋体" w:hAnsi="宋体" w:eastAsia="宋体" w:cs="宋体"/>
          <w:b/>
          <w:kern w:val="28"/>
          <w:sz w:val="36"/>
          <w:szCs w:val="36"/>
          <w:lang w:val="en-US" w:eastAsia="zh-CN"/>
        </w:rPr>
      </w:pPr>
    </w:p>
    <w:sectPr>
      <w:pgSz w:w="11906" w:h="16838"/>
      <w:pgMar w:top="1434" w:right="1474" w:bottom="1434" w:left="1474"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fldChar w:fldCharType="begin"/>
                          </w:r>
                          <w:r>
                            <w:rPr>
                              <w:rFonts w:hint="default" w:ascii="Times New Roman" w:hAnsi="Times New Roman" w:cs="Times New Roman" w:eastAsiaTheme="minorEastAsia"/>
                              <w:sz w:val="21"/>
                              <w:szCs w:val="21"/>
                              <w:lang w:eastAsia="zh-CN"/>
                            </w:rPr>
                            <w:instrText xml:space="preserve"> PAGE  \* MERGEFORMAT </w:instrText>
                          </w:r>
                          <w:r>
                            <w:rPr>
                              <w:rFonts w:hint="default" w:ascii="Times New Roman" w:hAnsi="Times New Roman" w:cs="Times New Roman" w:eastAsiaTheme="minorEastAsia"/>
                              <w:sz w:val="21"/>
                              <w:szCs w:val="21"/>
                              <w:lang w:eastAsia="zh-CN"/>
                            </w:rPr>
                            <w:fldChar w:fldCharType="separate"/>
                          </w:r>
                          <w:r>
                            <w:rPr>
                              <w:rFonts w:hint="default" w:ascii="Times New Roman" w:hAnsi="Times New Roman" w:cs="Times New Roman" w:eastAsiaTheme="minorEastAsia"/>
                              <w:sz w:val="21"/>
                              <w:szCs w:val="21"/>
                              <w:lang w:eastAsia="zh-CN"/>
                            </w:rPr>
                            <w:t>1</w:t>
                          </w:r>
                          <w:r>
                            <w:rPr>
                              <w:rFonts w:hint="default" w:ascii="Times New Roman" w:hAnsi="Times New Roman" w:cs="Times New Roman" w:eastAsiaTheme="minor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fldChar w:fldCharType="begin"/>
                    </w:r>
                    <w:r>
                      <w:rPr>
                        <w:rFonts w:hint="default" w:ascii="Times New Roman" w:hAnsi="Times New Roman" w:cs="Times New Roman" w:eastAsiaTheme="minorEastAsia"/>
                        <w:sz w:val="21"/>
                        <w:szCs w:val="21"/>
                        <w:lang w:eastAsia="zh-CN"/>
                      </w:rPr>
                      <w:instrText xml:space="preserve"> PAGE  \* MERGEFORMAT </w:instrText>
                    </w:r>
                    <w:r>
                      <w:rPr>
                        <w:rFonts w:hint="default" w:ascii="Times New Roman" w:hAnsi="Times New Roman" w:cs="Times New Roman" w:eastAsiaTheme="minorEastAsia"/>
                        <w:sz w:val="21"/>
                        <w:szCs w:val="21"/>
                        <w:lang w:eastAsia="zh-CN"/>
                      </w:rPr>
                      <w:fldChar w:fldCharType="separate"/>
                    </w:r>
                    <w:r>
                      <w:rPr>
                        <w:rFonts w:hint="default" w:ascii="Times New Roman" w:hAnsi="Times New Roman" w:cs="Times New Roman" w:eastAsiaTheme="minorEastAsia"/>
                        <w:sz w:val="21"/>
                        <w:szCs w:val="21"/>
                        <w:lang w:eastAsia="zh-CN"/>
                      </w:rPr>
                      <w:t>1</w:t>
                    </w:r>
                    <w:r>
                      <w:rPr>
                        <w:rFonts w:hint="default" w:ascii="Times New Roman" w:hAnsi="Times New Roman" w:cs="Times New Roman" w:eastAsiaTheme="minorEastAsia"/>
                        <w:sz w:val="21"/>
                        <w:szCs w:val="21"/>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FF39E6"/>
    <w:rsid w:val="01265BCF"/>
    <w:rsid w:val="0156352C"/>
    <w:rsid w:val="0300386E"/>
    <w:rsid w:val="039B02EC"/>
    <w:rsid w:val="040A7A68"/>
    <w:rsid w:val="04217649"/>
    <w:rsid w:val="05560FAF"/>
    <w:rsid w:val="057B0AD9"/>
    <w:rsid w:val="05BD0878"/>
    <w:rsid w:val="05FB4912"/>
    <w:rsid w:val="06792BD0"/>
    <w:rsid w:val="073343FB"/>
    <w:rsid w:val="07BE1C5C"/>
    <w:rsid w:val="086C231A"/>
    <w:rsid w:val="087551A1"/>
    <w:rsid w:val="08A93177"/>
    <w:rsid w:val="08D77C06"/>
    <w:rsid w:val="091701C6"/>
    <w:rsid w:val="0A5B080C"/>
    <w:rsid w:val="0ADA6A52"/>
    <w:rsid w:val="0AEC62F5"/>
    <w:rsid w:val="0C1C7C62"/>
    <w:rsid w:val="0CD24661"/>
    <w:rsid w:val="0D3C5E6E"/>
    <w:rsid w:val="0F4F30DB"/>
    <w:rsid w:val="114A40C9"/>
    <w:rsid w:val="1167027B"/>
    <w:rsid w:val="11B36778"/>
    <w:rsid w:val="11E4614E"/>
    <w:rsid w:val="123D4211"/>
    <w:rsid w:val="12E110C3"/>
    <w:rsid w:val="13DE4636"/>
    <w:rsid w:val="14265824"/>
    <w:rsid w:val="146E1044"/>
    <w:rsid w:val="14A90766"/>
    <w:rsid w:val="14AF1479"/>
    <w:rsid w:val="14CD2110"/>
    <w:rsid w:val="14FC3F92"/>
    <w:rsid w:val="17976EC2"/>
    <w:rsid w:val="18976382"/>
    <w:rsid w:val="18D943D6"/>
    <w:rsid w:val="192940FA"/>
    <w:rsid w:val="1A323AC2"/>
    <w:rsid w:val="1A496A08"/>
    <w:rsid w:val="1B823990"/>
    <w:rsid w:val="1BE10EFF"/>
    <w:rsid w:val="1C0E5966"/>
    <w:rsid w:val="1C3C6574"/>
    <w:rsid w:val="1DB833B8"/>
    <w:rsid w:val="1DB9205A"/>
    <w:rsid w:val="204042B3"/>
    <w:rsid w:val="20F828F5"/>
    <w:rsid w:val="210C12B4"/>
    <w:rsid w:val="21CD003A"/>
    <w:rsid w:val="21D40277"/>
    <w:rsid w:val="21DB756C"/>
    <w:rsid w:val="226F4C2B"/>
    <w:rsid w:val="22F04025"/>
    <w:rsid w:val="23A820DF"/>
    <w:rsid w:val="25954206"/>
    <w:rsid w:val="26DE1514"/>
    <w:rsid w:val="278C337C"/>
    <w:rsid w:val="27F44DCB"/>
    <w:rsid w:val="285D765F"/>
    <w:rsid w:val="29AF6870"/>
    <w:rsid w:val="2B170391"/>
    <w:rsid w:val="2BE5357A"/>
    <w:rsid w:val="2D1556A6"/>
    <w:rsid w:val="2F9B5393"/>
    <w:rsid w:val="30260541"/>
    <w:rsid w:val="310351F9"/>
    <w:rsid w:val="314F7CF8"/>
    <w:rsid w:val="31A51B46"/>
    <w:rsid w:val="31F0133A"/>
    <w:rsid w:val="32652B1A"/>
    <w:rsid w:val="32B463F5"/>
    <w:rsid w:val="32C12F7C"/>
    <w:rsid w:val="32CF2C13"/>
    <w:rsid w:val="33484C81"/>
    <w:rsid w:val="33DF0240"/>
    <w:rsid w:val="340C10E0"/>
    <w:rsid w:val="34670DAC"/>
    <w:rsid w:val="34937D57"/>
    <w:rsid w:val="351754F0"/>
    <w:rsid w:val="35B70D26"/>
    <w:rsid w:val="360A255B"/>
    <w:rsid w:val="36326699"/>
    <w:rsid w:val="369532C2"/>
    <w:rsid w:val="36DF7544"/>
    <w:rsid w:val="373F0FF4"/>
    <w:rsid w:val="3764089B"/>
    <w:rsid w:val="3845069F"/>
    <w:rsid w:val="38E85CE9"/>
    <w:rsid w:val="39DD3AE3"/>
    <w:rsid w:val="3B040FCD"/>
    <w:rsid w:val="3B5E20BE"/>
    <w:rsid w:val="3B9371DB"/>
    <w:rsid w:val="3BF40D85"/>
    <w:rsid w:val="3CAA4150"/>
    <w:rsid w:val="3CBC0FEC"/>
    <w:rsid w:val="3CE34237"/>
    <w:rsid w:val="3DBC20A7"/>
    <w:rsid w:val="3DEC5575"/>
    <w:rsid w:val="3E0131B1"/>
    <w:rsid w:val="3E0C3561"/>
    <w:rsid w:val="3E661D71"/>
    <w:rsid w:val="3F084100"/>
    <w:rsid w:val="3F922539"/>
    <w:rsid w:val="3F9E20A8"/>
    <w:rsid w:val="40956AB9"/>
    <w:rsid w:val="41675D12"/>
    <w:rsid w:val="41B42F58"/>
    <w:rsid w:val="41B94E3B"/>
    <w:rsid w:val="42286406"/>
    <w:rsid w:val="428B3466"/>
    <w:rsid w:val="44696EEF"/>
    <w:rsid w:val="450138B2"/>
    <w:rsid w:val="45173B67"/>
    <w:rsid w:val="45AE4A52"/>
    <w:rsid w:val="45D1463A"/>
    <w:rsid w:val="46E0403D"/>
    <w:rsid w:val="47D02F65"/>
    <w:rsid w:val="4814451A"/>
    <w:rsid w:val="48C93AF9"/>
    <w:rsid w:val="496A1450"/>
    <w:rsid w:val="4B607FF3"/>
    <w:rsid w:val="4BB63C87"/>
    <w:rsid w:val="4BCA4964"/>
    <w:rsid w:val="4CA81067"/>
    <w:rsid w:val="4DE21B39"/>
    <w:rsid w:val="4F071F43"/>
    <w:rsid w:val="5012598F"/>
    <w:rsid w:val="50926F7D"/>
    <w:rsid w:val="518F40CB"/>
    <w:rsid w:val="51A21D1E"/>
    <w:rsid w:val="5309094E"/>
    <w:rsid w:val="530C3017"/>
    <w:rsid w:val="537B5AC6"/>
    <w:rsid w:val="53E0425F"/>
    <w:rsid w:val="541512FB"/>
    <w:rsid w:val="542B1791"/>
    <w:rsid w:val="543712F0"/>
    <w:rsid w:val="546F08DE"/>
    <w:rsid w:val="55485D1E"/>
    <w:rsid w:val="567A5037"/>
    <w:rsid w:val="574B60D8"/>
    <w:rsid w:val="575E2A44"/>
    <w:rsid w:val="57766190"/>
    <w:rsid w:val="57D87FF6"/>
    <w:rsid w:val="57DD7189"/>
    <w:rsid w:val="59BD1F9D"/>
    <w:rsid w:val="5AE210D7"/>
    <w:rsid w:val="5B296730"/>
    <w:rsid w:val="5B9401F0"/>
    <w:rsid w:val="5B9B7F7D"/>
    <w:rsid w:val="5C3528CD"/>
    <w:rsid w:val="5C4371FC"/>
    <w:rsid w:val="5D377FF4"/>
    <w:rsid w:val="5E952569"/>
    <w:rsid w:val="5F2D4937"/>
    <w:rsid w:val="5F592EFB"/>
    <w:rsid w:val="5FE35913"/>
    <w:rsid w:val="603B2FD2"/>
    <w:rsid w:val="607A0324"/>
    <w:rsid w:val="60D72903"/>
    <w:rsid w:val="60D73A71"/>
    <w:rsid w:val="61F966C4"/>
    <w:rsid w:val="62063864"/>
    <w:rsid w:val="62F463BE"/>
    <w:rsid w:val="63301F64"/>
    <w:rsid w:val="63BC7023"/>
    <w:rsid w:val="645E1BBE"/>
    <w:rsid w:val="658867FD"/>
    <w:rsid w:val="65AC15B0"/>
    <w:rsid w:val="66106ACE"/>
    <w:rsid w:val="66A17525"/>
    <w:rsid w:val="67524CBB"/>
    <w:rsid w:val="69426A88"/>
    <w:rsid w:val="698702E5"/>
    <w:rsid w:val="69982A9A"/>
    <w:rsid w:val="69B65D0A"/>
    <w:rsid w:val="6A150F4B"/>
    <w:rsid w:val="6A1C24C9"/>
    <w:rsid w:val="6B6A729D"/>
    <w:rsid w:val="6C7B3ACA"/>
    <w:rsid w:val="6CAE2D39"/>
    <w:rsid w:val="6D000BE0"/>
    <w:rsid w:val="6E3E0797"/>
    <w:rsid w:val="6EAF2073"/>
    <w:rsid w:val="6EDD4BBC"/>
    <w:rsid w:val="6EE44E74"/>
    <w:rsid w:val="6F6036CC"/>
    <w:rsid w:val="6FD521F2"/>
    <w:rsid w:val="6FE62449"/>
    <w:rsid w:val="6FF23135"/>
    <w:rsid w:val="70861B6E"/>
    <w:rsid w:val="70B433E5"/>
    <w:rsid w:val="70C04EEF"/>
    <w:rsid w:val="712B03AE"/>
    <w:rsid w:val="71BA6D5E"/>
    <w:rsid w:val="72A92833"/>
    <w:rsid w:val="72F65796"/>
    <w:rsid w:val="72FE3D78"/>
    <w:rsid w:val="747F0F51"/>
    <w:rsid w:val="74A8305E"/>
    <w:rsid w:val="754362CD"/>
    <w:rsid w:val="75EF16C8"/>
    <w:rsid w:val="768517FF"/>
    <w:rsid w:val="77AB7580"/>
    <w:rsid w:val="77E12415"/>
    <w:rsid w:val="78494DB6"/>
    <w:rsid w:val="78670284"/>
    <w:rsid w:val="78952C3D"/>
    <w:rsid w:val="78B543BC"/>
    <w:rsid w:val="78C45047"/>
    <w:rsid w:val="797B736B"/>
    <w:rsid w:val="7A771B11"/>
    <w:rsid w:val="7A7A6229"/>
    <w:rsid w:val="7A8E0F2C"/>
    <w:rsid w:val="7AEB78DF"/>
    <w:rsid w:val="7B485841"/>
    <w:rsid w:val="7B92770E"/>
    <w:rsid w:val="7C084C8A"/>
    <w:rsid w:val="7D5437E5"/>
    <w:rsid w:val="7DE65E78"/>
    <w:rsid w:val="7F233DE2"/>
    <w:rsid w:val="7F7516CF"/>
    <w:rsid w:val="7FA05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next w:val="1"/>
    <w:qFormat/>
    <w:uiPriority w:val="0"/>
    <w:pPr>
      <w:widowControl w:val="0"/>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index 8"/>
    <w:basedOn w:val="1"/>
    <w:next w:val="1"/>
    <w:qFormat/>
    <w:uiPriority w:val="0"/>
    <w:pPr>
      <w:ind w:left="1400" w:leftChars="1400"/>
    </w:pPr>
  </w:style>
  <w:style w:type="paragraph" w:styleId="6">
    <w:name w:val="Normal Indent"/>
    <w:basedOn w:val="1"/>
    <w:next w:val="5"/>
    <w:qFormat/>
    <w:uiPriority w:val="0"/>
    <w:pPr>
      <w:ind w:firstLine="420"/>
    </w:pPr>
    <w:rPr>
      <w:szCs w:val="20"/>
    </w:rPr>
  </w:style>
  <w:style w:type="paragraph" w:styleId="7">
    <w:name w:val="annotation text"/>
    <w:basedOn w:val="1"/>
    <w:qFormat/>
    <w:uiPriority w:val="0"/>
    <w:pPr>
      <w:jc w:val="left"/>
    </w:pPr>
  </w:style>
  <w:style w:type="paragraph" w:styleId="8">
    <w:name w:val="Body Text 3"/>
    <w:basedOn w:val="1"/>
    <w:qFormat/>
    <w:uiPriority w:val="0"/>
    <w:pPr>
      <w:widowControl w:val="0"/>
      <w:spacing w:after="120" w:line="360" w:lineRule="auto"/>
      <w:jc w:val="both"/>
    </w:pPr>
    <w:rPr>
      <w:sz w:val="16"/>
      <w:szCs w:val="16"/>
    </w:rPr>
  </w:style>
  <w:style w:type="paragraph" w:styleId="9">
    <w:name w:val="Body Text"/>
    <w:basedOn w:val="1"/>
    <w:next w:val="10"/>
    <w:qFormat/>
    <w:uiPriority w:val="0"/>
    <w:pPr>
      <w:spacing w:after="120"/>
    </w:pPr>
    <w:rPr>
      <w:sz w:val="20"/>
    </w:rPr>
  </w:style>
  <w:style w:type="paragraph" w:styleId="10">
    <w:name w:val="Plain Text"/>
    <w:basedOn w:val="1"/>
    <w:next w:val="1"/>
    <w:qFormat/>
    <w:uiPriority w:val="0"/>
    <w:rPr>
      <w:rFonts w:ascii="宋体" w:hAnsi="Courier New" w:cs="Courier New"/>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next w:val="1"/>
    <w:qFormat/>
    <w:uiPriority w:val="0"/>
    <w:pPr>
      <w:tabs>
        <w:tab w:val="left" w:pos="3420"/>
      </w:tabs>
      <w:spacing w:line="480" w:lineRule="exact"/>
      <w:jc w:val="center"/>
    </w:pPr>
    <w:rPr>
      <w:rFonts w:ascii="宋体" w:hAnsi="Times New Roman" w:eastAsia="宋体" w:cs="Times New Roman"/>
      <w:b/>
      <w:bCs/>
      <w:sz w:val="24"/>
      <w:szCs w:val="24"/>
      <w:lang w:val="en-US" w:eastAsia="zh-CN" w:bidi="ar-SA"/>
    </w:rPr>
  </w:style>
  <w:style w:type="paragraph" w:styleId="14">
    <w:name w:val="Body Text Indent 3"/>
    <w:basedOn w:val="1"/>
    <w:qFormat/>
    <w:uiPriority w:val="0"/>
    <w:pPr>
      <w:widowControl w:val="0"/>
      <w:autoSpaceDE w:val="0"/>
      <w:autoSpaceDN w:val="0"/>
      <w:spacing w:before="0" w:after="120" w:line="240" w:lineRule="auto"/>
      <w:ind w:left="420" w:leftChars="200" w:right="0"/>
      <w:jc w:val="left"/>
    </w:pPr>
    <w:rPr>
      <w:rFonts w:ascii="宋体" w:hAnsi="宋体" w:eastAsia="宋体" w:cs="宋体"/>
      <w:sz w:val="16"/>
      <w:szCs w:val="16"/>
      <w:lang w:val="zh-CN" w:eastAsia="zh-CN" w:bidi="zh-CN"/>
    </w:rPr>
  </w:style>
  <w:style w:type="paragraph" w:styleId="15">
    <w:name w:val="Normal (Web)"/>
    <w:basedOn w:val="1"/>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table" w:styleId="1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rPr>
  </w:style>
  <w:style w:type="character" w:styleId="20">
    <w:name w:val="page number"/>
    <w:qFormat/>
    <w:uiPriority w:val="0"/>
  </w:style>
  <w:style w:type="paragraph" w:customStyle="1" w:styleId="21">
    <w:name w:val="_Style 3"/>
    <w:next w:val="14"/>
    <w:qFormat/>
    <w:uiPriority w:val="0"/>
    <w:pPr>
      <w:widowControl w:val="0"/>
      <w:autoSpaceDE w:val="0"/>
      <w:autoSpaceDN w:val="0"/>
      <w:adjustRightInd w:val="0"/>
      <w:spacing w:before="0" w:after="0" w:line="480" w:lineRule="exact"/>
      <w:ind w:left="0" w:right="0" w:firstLine="560"/>
      <w:jc w:val="left"/>
    </w:pPr>
    <w:rPr>
      <w:rFonts w:ascii="宋体" w:hAnsi="宋体" w:eastAsia="宋体" w:cs="宋体"/>
      <w:color w:val="000000"/>
      <w:kern w:val="0"/>
      <w:sz w:val="28"/>
      <w:szCs w:val="20"/>
      <w:lang w:val="zh-CN" w:eastAsia="zh-CN" w:bidi="zh-CN"/>
    </w:rPr>
  </w:style>
  <w:style w:type="paragraph" w:customStyle="1" w:styleId="22">
    <w:name w:val="Table Paragraph"/>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customStyle="1" w:styleId="23">
    <w:name w:val="font11"/>
    <w:basedOn w:val="18"/>
    <w:qFormat/>
    <w:uiPriority w:val="0"/>
    <w:rPr>
      <w:rFonts w:hint="eastAsia" w:ascii="仿宋_GB2312" w:eastAsia="仿宋_GB2312" w:cs="仿宋_GB2312"/>
      <w:color w:val="000000"/>
      <w:sz w:val="24"/>
      <w:szCs w:val="24"/>
      <w:u w:val="none"/>
    </w:rPr>
  </w:style>
  <w:style w:type="paragraph" w:customStyle="1" w:styleId="24">
    <w:name w:val="null3"/>
    <w:hidden/>
    <w:qFormat/>
    <w:uiPriority w:val="0"/>
    <w:rPr>
      <w:rFonts w:hint="eastAsia" w:asciiTheme="minorHAnsi" w:hAnsiTheme="minorHAnsi" w:eastAsiaTheme="minorEastAsia" w:cstheme="minorBidi"/>
      <w:lang w:val="en-US" w:eastAsia="zh-Hans"/>
    </w:rPr>
  </w:style>
  <w:style w:type="paragraph" w:customStyle="1" w:styleId="25">
    <w:name w:val="样式2"/>
    <w:basedOn w:val="1"/>
    <w:qFormat/>
    <w:uiPriority w:val="0"/>
    <w:pPr>
      <w:spacing w:line="300" w:lineRule="auto"/>
      <w:jc w:val="center"/>
      <w:outlineLvl w:val="0"/>
    </w:pPr>
    <w:rPr>
      <w:b/>
      <w:sz w:val="24"/>
      <w:szCs w:val="20"/>
    </w:rPr>
  </w:style>
  <w:style w:type="paragraph" w:styleId="26">
    <w:name w:val="List Paragraph"/>
    <w:basedOn w:val="1"/>
    <w:qFormat/>
    <w:uiPriority w:val="34"/>
    <w:pPr>
      <w:ind w:firstLine="420" w:firstLineChars="200"/>
    </w:pPr>
  </w:style>
  <w:style w:type="paragraph" w:customStyle="1" w:styleId="27">
    <w:name w:val="正文 A"/>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8">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香洲区</Company>
  <Pages>34</Pages>
  <Words>20547</Words>
  <Characters>21790</Characters>
  <Lines>1</Lines>
  <Paragraphs>1</Paragraphs>
  <TotalTime>0</TotalTime>
  <ScaleCrop>false</ScaleCrop>
  <LinksUpToDate>false</LinksUpToDate>
  <CharactersWithSpaces>22152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2024-10-09T03:37:00Z</dcterms:created>
  <dc:creator>DXL2</dc:creator>
  <cp:lastModifiedBy>内审DXL</cp:lastModifiedBy>
  <cp:lastPrinted>2025-08-04T04:45:00Z</cp:lastPrinted>
  <dcterms:modified xsi:type="dcterms:W3CDTF">2025-08-07T01:17:32Z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FF4E568D0500460F84B5F349CB96FCB2</vt:lpwstr>
  </property>
  <property fmtid="{D5CDD505-2E9C-101B-9397-08002B2CF9AE}" pid="4" name="KSOTemplateDocerSaveRecord">
    <vt:lpwstr>eyJoZGlkIjoiYzk2NzUxMzcxNWJjNWNmMzgwMmNiYTc1M2U2YThlYjAifQ==</vt:lpwstr>
  </property>
</Properties>
</file>